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6999530F" w:rsidR="00632595" w:rsidRPr="00BC2BFF" w:rsidRDefault="00A73B61" w:rsidP="005C1753">
      <w:pPr>
        <w:jc w:val="center"/>
      </w:pPr>
      <w:r w:rsidRPr="001957D5">
        <w:rPr>
          <w:rFonts w:cstheme="minorHAnsi"/>
          <w:b/>
          <w:noProof/>
          <w:color w:val="999999"/>
          <w:sz w:val="24"/>
          <w:szCs w:val="24"/>
          <w:lang w:eastAsia="fr-FR"/>
        </w:rPr>
        <w:drawing>
          <wp:anchor distT="0" distB="0" distL="114300" distR="114300" simplePos="0" relativeHeight="251659264" behindDoc="0" locked="0" layoutInCell="1" allowOverlap="1" wp14:anchorId="387D5182" wp14:editId="67CBE9AD">
            <wp:simplePos x="0" y="0"/>
            <wp:positionH relativeFrom="margin">
              <wp:posOffset>1849120</wp:posOffset>
            </wp:positionH>
            <wp:positionV relativeFrom="paragraph">
              <wp:posOffset>294640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11D9BFA2" w:rsidR="00B3398C" w:rsidRPr="00BC2BFF" w:rsidRDefault="00B3398C"/>
    <w:p w14:paraId="27EB898A" w14:textId="52CDFDE7" w:rsidR="00B3398C" w:rsidRPr="000E0CED" w:rsidRDefault="00B3398C" w:rsidP="00B1466D">
      <w:pPr>
        <w:rPr>
          <w:rFonts w:cs="Arial"/>
        </w:rPr>
      </w:pPr>
    </w:p>
    <w:p w14:paraId="12082902" w14:textId="4FAF70AD" w:rsidR="00042D7D" w:rsidRPr="0058758A" w:rsidRDefault="00042D7D" w:rsidP="00B1466D">
      <w:pPr>
        <w:rPr>
          <w:rFonts w:cs="Arial"/>
          <w:sz w:val="24"/>
          <w:szCs w:val="24"/>
        </w:rPr>
      </w:pPr>
    </w:p>
    <w:p w14:paraId="22C12CA7" w14:textId="77777777" w:rsidR="0058758A" w:rsidRPr="001B1AB6" w:rsidRDefault="0058758A" w:rsidP="0058758A">
      <w:pPr>
        <w:pStyle w:val="Titre"/>
        <w:jc w:val="left"/>
        <w:rPr>
          <w:rFonts w:ascii="AvenirNext LT Pro Cn" w:hAnsi="AvenirNext LT Pro Cn" w:cstheme="minorHAnsi"/>
          <w:sz w:val="22"/>
          <w:szCs w:val="22"/>
        </w:rPr>
      </w:pPr>
    </w:p>
    <w:p w14:paraId="67DAB9D0" w14:textId="77777777" w:rsidR="0058758A" w:rsidRPr="001B1AB6" w:rsidRDefault="0058758A" w:rsidP="0058758A">
      <w:pPr>
        <w:jc w:val="center"/>
        <w:rPr>
          <w:rFonts w:eastAsia="Arial Narrow" w:cs="Arial Narrow"/>
        </w:rPr>
      </w:pPr>
      <w:r w:rsidRPr="001B1AB6">
        <w:rPr>
          <w:rFonts w:eastAsia="Arial Narrow" w:cs="Arial Narrow"/>
          <w:b/>
          <w:u w:val="single"/>
        </w:rPr>
        <w:t>Pouvoir Adjudicateur</w:t>
      </w:r>
      <w:r w:rsidRPr="001B1AB6">
        <w:rPr>
          <w:rFonts w:eastAsia="Arial Narrow" w:cs="Arial Narrow"/>
        </w:rPr>
        <w:t xml:space="preserve"> : </w:t>
      </w:r>
    </w:p>
    <w:p w14:paraId="4D1754C7" w14:textId="77777777" w:rsidR="0058758A" w:rsidRPr="001B1AB6" w:rsidRDefault="0058758A" w:rsidP="0058758A">
      <w:pPr>
        <w:spacing w:before="100" w:beforeAutospacing="1" w:after="100" w:afterAutospacing="1"/>
        <w:contextualSpacing/>
        <w:jc w:val="center"/>
        <w:rPr>
          <w:b/>
        </w:rPr>
      </w:pPr>
      <w:r w:rsidRPr="001B1AB6">
        <w:rPr>
          <w:b/>
        </w:rPr>
        <w:t>Centre INRAE Ile de France Jouy-en-Josas – Antony</w:t>
      </w:r>
    </w:p>
    <w:p w14:paraId="131C2592" w14:textId="77777777" w:rsidR="0058758A" w:rsidRPr="001B1AB6" w:rsidRDefault="0058758A" w:rsidP="0058758A">
      <w:pPr>
        <w:spacing w:before="100" w:beforeAutospacing="1" w:after="100" w:afterAutospacing="1"/>
        <w:contextualSpacing/>
        <w:jc w:val="center"/>
      </w:pPr>
      <w:r w:rsidRPr="001B1AB6">
        <w:t xml:space="preserve">Domaine de </w:t>
      </w:r>
      <w:proofErr w:type="spellStart"/>
      <w:r w:rsidRPr="001B1AB6">
        <w:t>Vilvert</w:t>
      </w:r>
      <w:proofErr w:type="spellEnd"/>
    </w:p>
    <w:p w14:paraId="39DA0C42" w14:textId="77777777" w:rsidR="0058758A" w:rsidRPr="001B1AB6" w:rsidRDefault="0058758A" w:rsidP="0058758A">
      <w:pPr>
        <w:spacing w:before="100" w:beforeAutospacing="1" w:after="100" w:afterAutospacing="1"/>
        <w:contextualSpacing/>
        <w:jc w:val="center"/>
      </w:pPr>
      <w:r w:rsidRPr="001B1AB6">
        <w:t>78352 JOUY-EN-JOSAS cedex</w:t>
      </w:r>
    </w:p>
    <w:p w14:paraId="7D151EFB" w14:textId="77777777" w:rsidR="0058758A" w:rsidRPr="001B1AB6" w:rsidRDefault="0058758A" w:rsidP="0058758A">
      <w:pPr>
        <w:spacing w:before="100" w:beforeAutospacing="1" w:after="100" w:afterAutospacing="1"/>
        <w:contextualSpacing/>
        <w:jc w:val="center"/>
      </w:pPr>
      <w:r w:rsidRPr="001B1AB6">
        <w:t>France</w:t>
      </w:r>
    </w:p>
    <w:p w14:paraId="2E528FAD" w14:textId="77777777" w:rsidR="0058758A" w:rsidRPr="001B1AB6" w:rsidRDefault="0058758A" w:rsidP="0058758A">
      <w:pPr>
        <w:spacing w:before="100" w:beforeAutospacing="1" w:after="100" w:afterAutospacing="1"/>
        <w:contextualSpacing/>
        <w:jc w:val="center"/>
      </w:pPr>
    </w:p>
    <w:p w14:paraId="305EA981" w14:textId="77777777" w:rsidR="0058758A" w:rsidRPr="001B1AB6" w:rsidRDefault="0058758A" w:rsidP="0058758A">
      <w:pPr>
        <w:jc w:val="center"/>
        <w:rPr>
          <w:rFonts w:eastAsia="Arial Narrow"/>
        </w:rPr>
      </w:pPr>
      <w:r w:rsidRPr="001B1AB6">
        <w:rPr>
          <w:rFonts w:eastAsia="Arial Narrow"/>
          <w:b/>
          <w:u w:val="single"/>
        </w:rPr>
        <w:t>Unité concernée</w:t>
      </w:r>
      <w:r w:rsidRPr="001B1AB6">
        <w:rPr>
          <w:rFonts w:eastAsia="Arial Narrow"/>
        </w:rPr>
        <w:t> :</w:t>
      </w:r>
    </w:p>
    <w:p w14:paraId="3A99828B" w14:textId="77777777" w:rsidR="0058758A" w:rsidRPr="001B1AB6" w:rsidRDefault="0058758A" w:rsidP="0058758A">
      <w:pPr>
        <w:contextualSpacing/>
        <w:jc w:val="center"/>
        <w:rPr>
          <w:rFonts w:cstheme="majorHAnsi"/>
          <w:b/>
        </w:rPr>
      </w:pPr>
      <w:r w:rsidRPr="001B1AB6">
        <w:rPr>
          <w:rFonts w:cstheme="majorHAnsi"/>
          <w:b/>
        </w:rPr>
        <w:t>UMR 1198 BREED</w:t>
      </w:r>
    </w:p>
    <w:p w14:paraId="2E31EFAE" w14:textId="77777777" w:rsidR="0058758A" w:rsidRPr="001B1AB6" w:rsidRDefault="0058758A" w:rsidP="0058758A">
      <w:pPr>
        <w:contextualSpacing/>
        <w:jc w:val="center"/>
        <w:rPr>
          <w:rFonts w:cstheme="majorHAnsi"/>
        </w:rPr>
      </w:pPr>
      <w:r w:rsidRPr="001B1AB6">
        <w:rPr>
          <w:rFonts w:cstheme="majorHAnsi"/>
        </w:rPr>
        <w:t xml:space="preserve">BATIMENT 230 </w:t>
      </w:r>
    </w:p>
    <w:p w14:paraId="4CC4B03D" w14:textId="77777777" w:rsidR="0058758A" w:rsidRPr="001B1AB6" w:rsidRDefault="0058758A" w:rsidP="0058758A">
      <w:pPr>
        <w:spacing w:before="100" w:beforeAutospacing="1" w:after="100" w:afterAutospacing="1"/>
        <w:contextualSpacing/>
        <w:jc w:val="center"/>
      </w:pPr>
      <w:r w:rsidRPr="001B1AB6">
        <w:t xml:space="preserve">Domaine de </w:t>
      </w:r>
      <w:proofErr w:type="spellStart"/>
      <w:r w:rsidRPr="001B1AB6">
        <w:t>Vilvert</w:t>
      </w:r>
      <w:proofErr w:type="spellEnd"/>
    </w:p>
    <w:p w14:paraId="30A9FFAF" w14:textId="77777777" w:rsidR="0058758A" w:rsidRPr="001B1AB6" w:rsidRDefault="0058758A" w:rsidP="0058758A">
      <w:pPr>
        <w:spacing w:before="100" w:beforeAutospacing="1" w:after="100" w:afterAutospacing="1"/>
        <w:contextualSpacing/>
        <w:jc w:val="center"/>
      </w:pPr>
      <w:r w:rsidRPr="001B1AB6">
        <w:t>4 avenue Jean Jaurès</w:t>
      </w:r>
    </w:p>
    <w:p w14:paraId="04C2A928" w14:textId="77777777" w:rsidR="0058758A" w:rsidRPr="001B1AB6" w:rsidRDefault="0058758A" w:rsidP="0058758A">
      <w:pPr>
        <w:spacing w:before="100" w:beforeAutospacing="1" w:after="100" w:afterAutospacing="1"/>
        <w:contextualSpacing/>
        <w:jc w:val="center"/>
      </w:pPr>
      <w:r w:rsidRPr="001B1AB6">
        <w:t>78352 JOUY-EN-JOSAS cedex</w:t>
      </w:r>
    </w:p>
    <w:p w14:paraId="3AE00912" w14:textId="77777777" w:rsidR="0058758A" w:rsidRPr="001B1AB6" w:rsidRDefault="0058758A" w:rsidP="0058758A">
      <w:pPr>
        <w:spacing w:before="100" w:beforeAutospacing="1" w:after="100" w:afterAutospacing="1"/>
        <w:contextualSpacing/>
        <w:jc w:val="center"/>
      </w:pPr>
      <w:r w:rsidRPr="001B1AB6">
        <w:t>France</w:t>
      </w:r>
    </w:p>
    <w:p w14:paraId="348798AE" w14:textId="77777777" w:rsidR="00CA751B" w:rsidRPr="001B1AB6" w:rsidRDefault="00CA751B" w:rsidP="00CA751B">
      <w:pPr>
        <w:rPr>
          <w:rFonts w:cs="Arial"/>
        </w:rPr>
      </w:pPr>
    </w:p>
    <w:p w14:paraId="1C53B21E" w14:textId="77777777" w:rsidR="00042D7D" w:rsidRPr="001B1AB6" w:rsidRDefault="00042D7D" w:rsidP="00B1466D">
      <w:pPr>
        <w:rPr>
          <w:rFonts w:cs="Arial"/>
        </w:rPr>
      </w:pPr>
    </w:p>
    <w:p w14:paraId="51E4E06B" w14:textId="77777777" w:rsidR="00B3398C" w:rsidRPr="001B1AB6" w:rsidRDefault="00B3398C" w:rsidP="003C2E90">
      <w:pPr>
        <w:pBdr>
          <w:top w:val="single" w:sz="18" w:space="0" w:color="auto"/>
          <w:left w:val="single" w:sz="18" w:space="4" w:color="auto"/>
          <w:bottom w:val="single" w:sz="18" w:space="1" w:color="auto"/>
          <w:right w:val="single" w:sz="18" w:space="4" w:color="auto"/>
        </w:pBdr>
        <w:jc w:val="center"/>
        <w:rPr>
          <w:rFonts w:cs="Arial"/>
        </w:rPr>
      </w:pPr>
    </w:p>
    <w:p w14:paraId="34097006" w14:textId="77777777" w:rsidR="005C043B" w:rsidRPr="001B1AB6" w:rsidRDefault="003F4F96" w:rsidP="003C2E90">
      <w:pPr>
        <w:pBdr>
          <w:top w:val="single" w:sz="18" w:space="0" w:color="auto"/>
          <w:left w:val="single" w:sz="18" w:space="4" w:color="auto"/>
          <w:bottom w:val="single" w:sz="18" w:space="1" w:color="auto"/>
          <w:right w:val="single" w:sz="18" w:space="4" w:color="auto"/>
        </w:pBdr>
        <w:jc w:val="center"/>
        <w:rPr>
          <w:rFonts w:cs="Arial"/>
          <w:b/>
        </w:rPr>
      </w:pPr>
      <w:r w:rsidRPr="001B1AB6">
        <w:rPr>
          <w:rFonts w:cs="Arial"/>
          <w:b/>
        </w:rPr>
        <w:t xml:space="preserve">OBJET DU MARCHE : </w:t>
      </w:r>
    </w:p>
    <w:p w14:paraId="44EC0B6B" w14:textId="77777777" w:rsidR="00D24C9A" w:rsidRPr="001B1AB6" w:rsidRDefault="007A2941" w:rsidP="003C2E90">
      <w:pPr>
        <w:pBdr>
          <w:top w:val="single" w:sz="18" w:space="0" w:color="auto"/>
          <w:left w:val="single" w:sz="18" w:space="4" w:color="auto"/>
          <w:bottom w:val="single" w:sz="18" w:space="1" w:color="auto"/>
          <w:right w:val="single" w:sz="18" w:space="4" w:color="auto"/>
        </w:pBdr>
        <w:jc w:val="center"/>
        <w:rPr>
          <w:rFonts w:eastAsia="Times New Roman" w:cstheme="majorHAnsi"/>
          <w:b/>
          <w:bCs/>
          <w:lang w:eastAsia="fr-FR"/>
        </w:rPr>
      </w:pPr>
      <w:r w:rsidRPr="001B1AB6">
        <w:rPr>
          <w:rFonts w:eastAsia="Times New Roman" w:cstheme="majorHAnsi"/>
          <w:b/>
          <w:bCs/>
          <w:lang w:eastAsia="fr-FR"/>
        </w:rPr>
        <w:t xml:space="preserve">ACHAT DE DEUX EQUIPEMENTS DE VIDEOMICROSCOPIE </w:t>
      </w:r>
    </w:p>
    <w:p w14:paraId="50195D98" w14:textId="7828810F" w:rsidR="00D24C9A" w:rsidRPr="001B1AB6" w:rsidRDefault="007A2941" w:rsidP="003C2E90">
      <w:pPr>
        <w:pBdr>
          <w:top w:val="single" w:sz="18" w:space="0" w:color="auto"/>
          <w:left w:val="single" w:sz="18" w:space="4" w:color="auto"/>
          <w:bottom w:val="single" w:sz="18" w:space="1" w:color="auto"/>
          <w:right w:val="single" w:sz="18" w:space="4" w:color="auto"/>
        </w:pBdr>
        <w:jc w:val="center"/>
        <w:rPr>
          <w:rFonts w:eastAsia="Times New Roman" w:cstheme="majorHAnsi"/>
          <w:b/>
          <w:bCs/>
          <w:lang w:eastAsia="fr-FR"/>
        </w:rPr>
      </w:pPr>
      <w:r w:rsidRPr="001B1AB6">
        <w:rPr>
          <w:rFonts w:eastAsia="Times New Roman" w:cstheme="majorHAnsi"/>
          <w:b/>
          <w:bCs/>
          <w:lang w:eastAsia="fr-FR"/>
        </w:rPr>
        <w:t xml:space="preserve">POUR LE SUIVI EN TEMPS REEL DU </w:t>
      </w:r>
    </w:p>
    <w:p w14:paraId="79499258" w14:textId="1680390D" w:rsidR="00D24C9A" w:rsidRPr="001B1AB6" w:rsidRDefault="007A2941" w:rsidP="003C2E90">
      <w:pPr>
        <w:pBdr>
          <w:top w:val="single" w:sz="18" w:space="0" w:color="auto"/>
          <w:left w:val="single" w:sz="18" w:space="4" w:color="auto"/>
          <w:bottom w:val="single" w:sz="18" w:space="1" w:color="auto"/>
          <w:right w:val="single" w:sz="18" w:space="4" w:color="auto"/>
        </w:pBdr>
        <w:jc w:val="center"/>
        <w:rPr>
          <w:rFonts w:eastAsia="Times New Roman" w:cstheme="majorHAnsi"/>
          <w:b/>
          <w:bCs/>
          <w:i/>
          <w:iCs/>
          <w:lang w:eastAsia="fr-FR"/>
        </w:rPr>
      </w:pPr>
      <w:r w:rsidRPr="001B1AB6">
        <w:rPr>
          <w:rFonts w:eastAsia="Times New Roman" w:cstheme="majorHAnsi"/>
          <w:b/>
          <w:bCs/>
          <w:lang w:eastAsia="fr-FR"/>
        </w:rPr>
        <w:t xml:space="preserve">DEVELOPPEMENT EMBRYONNAIRE BOVIN </w:t>
      </w:r>
      <w:r w:rsidRPr="001B1AB6">
        <w:rPr>
          <w:rFonts w:eastAsia="Times New Roman" w:cstheme="majorHAnsi"/>
          <w:b/>
          <w:bCs/>
          <w:i/>
          <w:iCs/>
          <w:lang w:eastAsia="fr-FR"/>
        </w:rPr>
        <w:t xml:space="preserve">IN VITRO </w:t>
      </w:r>
    </w:p>
    <w:p w14:paraId="54825990" w14:textId="1EF354E2" w:rsidR="003F4F96" w:rsidRPr="001B1AB6" w:rsidRDefault="0067136C" w:rsidP="003C2E90">
      <w:pPr>
        <w:pBdr>
          <w:top w:val="single" w:sz="18" w:space="0" w:color="auto"/>
          <w:left w:val="single" w:sz="18" w:space="4" w:color="auto"/>
          <w:bottom w:val="single" w:sz="18" w:space="1" w:color="auto"/>
          <w:right w:val="single" w:sz="18" w:space="4" w:color="auto"/>
        </w:pBdr>
        <w:jc w:val="center"/>
        <w:rPr>
          <w:rFonts w:cs="Arial"/>
          <w:b/>
        </w:rPr>
      </w:pPr>
      <w:r w:rsidRPr="001B1AB6">
        <w:rPr>
          <w:rFonts w:cs="Arial"/>
          <w:b/>
        </w:rPr>
        <w:t>POUR L</w:t>
      </w:r>
      <w:r w:rsidR="00D24C9A" w:rsidRPr="001B1AB6">
        <w:rPr>
          <w:rFonts w:cs="Arial"/>
          <w:b/>
        </w:rPr>
        <w:t>’</w:t>
      </w:r>
      <w:r w:rsidRPr="001B1AB6">
        <w:rPr>
          <w:rFonts w:cs="Arial"/>
          <w:b/>
        </w:rPr>
        <w:t>UNITE 1198-BREED DU CENTRE INRAE DE JOUY-EN-JOSAS</w:t>
      </w:r>
      <w:r w:rsidR="003D4C1A">
        <w:rPr>
          <w:rFonts w:cs="Arial"/>
          <w:b/>
        </w:rPr>
        <w:t xml:space="preserve"> – ANTONY </w:t>
      </w:r>
    </w:p>
    <w:p w14:paraId="27B2CA59" w14:textId="1098F55D" w:rsidR="00B3398C" w:rsidRPr="001B1AB6" w:rsidRDefault="001D73E9" w:rsidP="003C2E90">
      <w:pPr>
        <w:pBdr>
          <w:top w:val="single" w:sz="18" w:space="0" w:color="auto"/>
          <w:left w:val="single" w:sz="18" w:space="4" w:color="auto"/>
          <w:bottom w:val="single" w:sz="18" w:space="1" w:color="auto"/>
          <w:right w:val="single" w:sz="18" w:space="4" w:color="auto"/>
        </w:pBdr>
        <w:jc w:val="center"/>
        <w:rPr>
          <w:rFonts w:cs="Arial"/>
          <w:b/>
          <w:color w:val="C00000"/>
        </w:rPr>
      </w:pPr>
      <w:r w:rsidRPr="001B1AB6">
        <w:rPr>
          <w:rFonts w:cs="Arial"/>
          <w:b/>
        </w:rPr>
        <w:t xml:space="preserve">MARCHÉ </w:t>
      </w:r>
      <w:r w:rsidR="009F0C4E" w:rsidRPr="001B1AB6">
        <w:rPr>
          <w:rFonts w:cs="Arial"/>
          <w:b/>
        </w:rPr>
        <w:t>n°</w:t>
      </w:r>
    </w:p>
    <w:p w14:paraId="1109746D" w14:textId="77777777" w:rsidR="009F0C4E" w:rsidRPr="001B1AB6" w:rsidRDefault="009F0C4E" w:rsidP="003C2E90">
      <w:pPr>
        <w:pBdr>
          <w:top w:val="single" w:sz="18" w:space="0" w:color="auto"/>
          <w:left w:val="single" w:sz="18" w:space="4" w:color="auto"/>
          <w:bottom w:val="single" w:sz="18" w:space="1" w:color="auto"/>
          <w:right w:val="single" w:sz="18" w:space="4" w:color="auto"/>
        </w:pBdr>
        <w:jc w:val="center"/>
        <w:rPr>
          <w:rFonts w:cs="Arial"/>
        </w:rPr>
      </w:pPr>
    </w:p>
    <w:p w14:paraId="32C44700" w14:textId="77777777" w:rsidR="00B3398C" w:rsidRPr="001B1AB6" w:rsidRDefault="00B3398C">
      <w:pPr>
        <w:widowControl w:val="0"/>
        <w:autoSpaceDE w:val="0"/>
        <w:autoSpaceDN w:val="0"/>
        <w:adjustRightInd w:val="0"/>
        <w:spacing w:before="14" w:line="240" w:lineRule="exact"/>
        <w:ind w:left="120"/>
        <w:rPr>
          <w:b/>
          <w:bCs/>
        </w:rPr>
      </w:pPr>
    </w:p>
    <w:p w14:paraId="2E95EB9F" w14:textId="77777777" w:rsidR="0058758A" w:rsidRPr="001B1AB6" w:rsidRDefault="0058758A" w:rsidP="0058758A">
      <w:pPr>
        <w:widowControl w:val="0"/>
        <w:autoSpaceDE w:val="0"/>
        <w:autoSpaceDN w:val="0"/>
        <w:adjustRightInd w:val="0"/>
        <w:spacing w:before="14" w:line="240" w:lineRule="exact"/>
        <w:rPr>
          <w:b/>
          <w:bCs/>
        </w:rPr>
      </w:pPr>
    </w:p>
    <w:p w14:paraId="487CF765" w14:textId="77777777" w:rsidR="0058758A" w:rsidRPr="001B1AB6" w:rsidRDefault="0058758A" w:rsidP="0058758A">
      <w:pPr>
        <w:widowControl w:val="0"/>
        <w:autoSpaceDE w:val="0"/>
        <w:autoSpaceDN w:val="0"/>
        <w:adjustRightInd w:val="0"/>
        <w:spacing w:before="14" w:line="240" w:lineRule="exact"/>
        <w:jc w:val="center"/>
        <w:rPr>
          <w:b/>
          <w:bCs/>
        </w:rPr>
      </w:pPr>
      <w:r w:rsidRPr="001B1AB6">
        <w:rPr>
          <w:b/>
          <w:bCs/>
        </w:rPr>
        <w:t>Appel d’offre ouvert</w:t>
      </w:r>
    </w:p>
    <w:p w14:paraId="7D2BC637" w14:textId="3426B7A1" w:rsidR="0058758A" w:rsidRPr="001B1AB6" w:rsidRDefault="0058758A" w:rsidP="0058758A">
      <w:pPr>
        <w:widowControl w:val="0"/>
        <w:autoSpaceDE w:val="0"/>
        <w:autoSpaceDN w:val="0"/>
        <w:adjustRightInd w:val="0"/>
        <w:spacing w:before="14" w:line="240" w:lineRule="exact"/>
        <w:jc w:val="center"/>
        <w:rPr>
          <w:b/>
          <w:bCs/>
        </w:rPr>
      </w:pPr>
      <w:r w:rsidRPr="001B1AB6">
        <w:rPr>
          <w:b/>
          <w:bCs/>
        </w:rPr>
        <w:t>Articles L2124-2 et R2161-2 à R2161-5 du code de la commande publique.</w:t>
      </w:r>
    </w:p>
    <w:p w14:paraId="15A19848" w14:textId="77777777" w:rsidR="00B3398C" w:rsidRPr="001B1AB6" w:rsidRDefault="00B3398C">
      <w:pPr>
        <w:widowControl w:val="0"/>
        <w:autoSpaceDE w:val="0"/>
        <w:autoSpaceDN w:val="0"/>
        <w:adjustRightInd w:val="0"/>
        <w:spacing w:before="14" w:line="240" w:lineRule="exact"/>
        <w:rPr>
          <w:b/>
          <w:bCs/>
        </w:rPr>
      </w:pPr>
    </w:p>
    <w:p w14:paraId="735BB3D5" w14:textId="77777777" w:rsidR="00962958" w:rsidRPr="001B1AB6" w:rsidRDefault="00962958" w:rsidP="008630D8"/>
    <w:p w14:paraId="7532D5D7" w14:textId="77777777" w:rsidR="00962958" w:rsidRPr="001B1AB6" w:rsidRDefault="00962958" w:rsidP="008630D8"/>
    <w:p w14:paraId="3A4292A4" w14:textId="77777777" w:rsidR="00962958" w:rsidRPr="001B1AB6" w:rsidRDefault="00962958" w:rsidP="008630D8"/>
    <w:p w14:paraId="2C34CBFF" w14:textId="72EB103C" w:rsidR="00CA751B" w:rsidRPr="001B1AB6" w:rsidRDefault="00CA751B">
      <w:pPr>
        <w:spacing w:before="0" w:after="0"/>
        <w:jc w:val="left"/>
        <w:rPr>
          <w:b/>
        </w:rPr>
      </w:pPr>
      <w:r w:rsidRPr="001B1AB6">
        <w:rPr>
          <w:b/>
        </w:rPr>
        <w:br w:type="page"/>
      </w:r>
    </w:p>
    <w:p w14:paraId="3EDAD5DE" w14:textId="77777777" w:rsidR="00D74AB2" w:rsidRPr="0058758A" w:rsidRDefault="00D74AB2" w:rsidP="008630D8">
      <w:pPr>
        <w:rPr>
          <w:b/>
          <w:sz w:val="24"/>
          <w:szCs w:val="24"/>
        </w:rPr>
      </w:pPr>
    </w:p>
    <w:p w14:paraId="750D925F" w14:textId="77777777" w:rsidR="0058758A" w:rsidRPr="00BC2BFF" w:rsidRDefault="0058758A" w:rsidP="0058758A">
      <w:pPr>
        <w:rPr>
          <w:b/>
          <w:bCs/>
        </w:rPr>
      </w:pPr>
      <w:r w:rsidRPr="00BC2BFF">
        <w:rPr>
          <w:b/>
        </w:rPr>
        <w:t>Le Titulaire</w:t>
      </w:r>
    </w:p>
    <w:p w14:paraId="24B540B9" w14:textId="77777777" w:rsidR="0058758A" w:rsidRPr="00BC2BFF" w:rsidRDefault="0058758A" w:rsidP="0058758A">
      <w:r w:rsidRPr="00BC2BFF">
        <w:t>Je soussigné (nom, prénoms) : ………………</w:t>
      </w:r>
      <w:r>
        <w:t>………………………………………………………………………</w:t>
      </w:r>
      <w:r w:rsidRPr="00BC2BFF">
        <w:t>.</w:t>
      </w:r>
    </w:p>
    <w:p w14:paraId="5880B692" w14:textId="77777777" w:rsidR="0058758A" w:rsidRPr="00BC2BFF" w:rsidRDefault="0058758A" w:rsidP="0058758A">
      <w:r w:rsidRPr="00BC2BFF">
        <w:t>Agissant pour le compte de : ……………………</w:t>
      </w:r>
      <w:r>
        <w:t>…………………………………………………………………….</w:t>
      </w:r>
    </w:p>
    <w:p w14:paraId="5CE8F62C" w14:textId="77777777" w:rsidR="0058758A" w:rsidRPr="00BC2BFF" w:rsidRDefault="0058758A" w:rsidP="0058758A">
      <w:r w:rsidRPr="00BC2BFF">
        <w:t>Forme juridique : …………………………………</w:t>
      </w:r>
      <w:r>
        <w:t>…………………………………………………………………...</w:t>
      </w:r>
    </w:p>
    <w:p w14:paraId="7038EED7" w14:textId="77777777" w:rsidR="0058758A" w:rsidRPr="00BC2BFF" w:rsidRDefault="0058758A" w:rsidP="0058758A">
      <w:r w:rsidRPr="00BC2BFF">
        <w:t>Capital social : ……………………………………</w:t>
      </w:r>
      <w:r>
        <w:t>……………………………………………………………………</w:t>
      </w:r>
    </w:p>
    <w:p w14:paraId="532FADC8" w14:textId="77777777" w:rsidR="0058758A" w:rsidRPr="00BC2BFF" w:rsidRDefault="0058758A" w:rsidP="0058758A">
      <w:r w:rsidRPr="00BC2BFF">
        <w:t>Adresse du siège social : ………………………</w:t>
      </w:r>
      <w:r>
        <w:t>……………………………………………………………………….</w:t>
      </w:r>
    </w:p>
    <w:p w14:paraId="672ABF46" w14:textId="77777777" w:rsidR="0058758A" w:rsidRPr="00BC2BFF" w:rsidRDefault="0058758A" w:rsidP="0058758A">
      <w:r w:rsidRPr="00BC2BFF">
        <w:t>Tél. : ………………………</w:t>
      </w:r>
      <w:r>
        <w:t>……………………………………………………………………………………</w:t>
      </w:r>
      <w:proofErr w:type="gramStart"/>
      <w:r>
        <w:t>…….</w:t>
      </w:r>
      <w:proofErr w:type="gramEnd"/>
      <w:r>
        <w:t>.</w:t>
      </w:r>
    </w:p>
    <w:p w14:paraId="6DF8D6AA" w14:textId="77777777" w:rsidR="0058758A" w:rsidRPr="00796DA1" w:rsidRDefault="0058758A" w:rsidP="0058758A">
      <w:pPr>
        <w:rPr>
          <w:b/>
        </w:rPr>
      </w:pPr>
      <w:r w:rsidRPr="00796DA1">
        <w:rPr>
          <w:b/>
        </w:rPr>
        <w:t>Immatriculation à l’INSEE</w:t>
      </w:r>
    </w:p>
    <w:p w14:paraId="7E5029B8" w14:textId="77777777" w:rsidR="0058758A" w:rsidRPr="00BC2BFF" w:rsidRDefault="0058758A" w:rsidP="0058758A">
      <w:proofErr w:type="gramStart"/>
      <w:r w:rsidRPr="00BC2BFF">
        <w:t>n</w:t>
      </w:r>
      <w:proofErr w:type="gramEnd"/>
      <w:r w:rsidRPr="00BC2BFF">
        <w:t>° d’identité d’établissement (SIRET) : ……………………………………………</w:t>
      </w:r>
      <w:r>
        <w:t>……………………………………</w:t>
      </w:r>
    </w:p>
    <w:p w14:paraId="645D82AF" w14:textId="77777777" w:rsidR="0058758A" w:rsidRPr="00BC2BFF" w:rsidRDefault="0058758A" w:rsidP="0058758A">
      <w:proofErr w:type="gramStart"/>
      <w:r w:rsidRPr="00BC2BFF">
        <w:t>code</w:t>
      </w:r>
      <w:proofErr w:type="gramEnd"/>
      <w:r w:rsidRPr="00BC2BFF">
        <w:t xml:space="preserve"> d’activité économique principale (APE) : …………………………………</w:t>
      </w:r>
      <w:r>
        <w:t>………………………………………</w:t>
      </w:r>
    </w:p>
    <w:p w14:paraId="726B63BD" w14:textId="77777777" w:rsidR="0058758A" w:rsidRPr="00BC2BFF" w:rsidRDefault="0058758A" w:rsidP="0058758A">
      <w:proofErr w:type="gramStart"/>
      <w:r w:rsidRPr="00BC2BFF">
        <w:t>n</w:t>
      </w:r>
      <w:proofErr w:type="gramEnd"/>
      <w:r w:rsidRPr="00BC2BFF">
        <w:t>° d’inscription au registre du commerce de : RCS : ……………………………</w:t>
      </w:r>
      <w:r>
        <w:t>………………………………………</w:t>
      </w:r>
    </w:p>
    <w:p w14:paraId="1CDE46A5" w14:textId="77777777" w:rsidR="0058758A" w:rsidRDefault="0058758A" w:rsidP="0058758A"/>
    <w:p w14:paraId="1648DA85" w14:textId="77777777" w:rsidR="0058758A" w:rsidRPr="00BC2BFF" w:rsidRDefault="0058758A" w:rsidP="0058758A">
      <w:r>
        <w:t>A</w:t>
      </w:r>
      <w:r w:rsidRPr="00BC2BFF">
        <w:t>près avoir pris connaissance des dispositions du présent document, des documents qui y sont mentionnés et après avoir satisfait aux obligations fiscales et sociales en vigueur,</w:t>
      </w:r>
    </w:p>
    <w:p w14:paraId="03F3EB19" w14:textId="77777777" w:rsidR="0058758A" w:rsidRPr="00BC2BFF" w:rsidRDefault="0058758A" w:rsidP="0058758A">
      <w:r>
        <w:t>M</w:t>
      </w:r>
      <w:r w:rsidRPr="00BC2BFF">
        <w:t xml:space="preserve">’engage sans réserve, conformément aux stipulations du présent document et des documents qui y sont mentionnés, à exécuter dans les conditions fixées par lesdits documents les prestations désignées en objet du présent acte d’engagement valant </w:t>
      </w:r>
      <w:r>
        <w:t>c</w:t>
      </w:r>
      <w:r w:rsidRPr="00BC2BFF">
        <w:t xml:space="preserve">ahier des </w:t>
      </w:r>
      <w:r>
        <w:t>c</w:t>
      </w:r>
      <w:r w:rsidRPr="00BC2BFF">
        <w:t xml:space="preserve">lauses </w:t>
      </w:r>
      <w:r>
        <w:t>p</w:t>
      </w:r>
      <w:r w:rsidRPr="00BC2BFF">
        <w:t>articulières.</w:t>
      </w:r>
    </w:p>
    <w:p w14:paraId="3F8EDC33" w14:textId="77777777" w:rsidR="0058758A" w:rsidRPr="001B4AD0" w:rsidRDefault="0058758A" w:rsidP="0058758A">
      <w:r w:rsidRPr="001B4AD0">
        <w:t xml:space="preserve">L’offre, ainsi présentée ne me lie toutefois que si son acceptation m’est notifiée dans le délai de 90 jours à compter de la date limite de remise des plis (ou de la date de signature de l’offre finale s’il y a négociation).  </w:t>
      </w:r>
    </w:p>
    <w:p w14:paraId="66A25A41" w14:textId="77777777" w:rsidR="0058758A" w:rsidRPr="00BC2BFF" w:rsidRDefault="0058758A" w:rsidP="0058758A">
      <w:pPr>
        <w:rPr>
          <w:rFonts w:cs="Arial"/>
          <w:b/>
        </w:rPr>
      </w:pPr>
    </w:p>
    <w:p w14:paraId="7D6D659F" w14:textId="77777777" w:rsidR="0058758A" w:rsidRPr="00BC2BFF" w:rsidRDefault="0058758A" w:rsidP="0058758A">
      <w:pPr>
        <w:rPr>
          <w:rFonts w:cs="Arial"/>
          <w:b/>
        </w:rPr>
      </w:pPr>
      <w:r w:rsidRPr="00BC2BFF">
        <w:rPr>
          <w:rFonts w:cs="Arial"/>
          <w:b/>
        </w:rPr>
        <w:t>Fait à ………………… le …………………..</w:t>
      </w:r>
      <w:r w:rsidRPr="00BC2BFF">
        <w:rPr>
          <w:rStyle w:val="Appelnotedebasdep"/>
          <w:rFonts w:cs="Arial"/>
          <w:b/>
          <w:color w:val="000000"/>
        </w:rPr>
        <w:footnoteReference w:id="1"/>
      </w:r>
    </w:p>
    <w:p w14:paraId="68E0882F" w14:textId="77777777" w:rsidR="0058758A" w:rsidRPr="00BC2BFF" w:rsidRDefault="0058758A" w:rsidP="0058758A">
      <w:r w:rsidRPr="00BC2BFF">
        <w:t>Le titulaire</w:t>
      </w:r>
      <w:r w:rsidRPr="00BC2BFF">
        <w:rPr>
          <w:rStyle w:val="Appelnotedebasdep"/>
          <w:rFonts w:cs="Arial"/>
        </w:rPr>
        <w:footnoteReference w:id="2"/>
      </w:r>
    </w:p>
    <w:p w14:paraId="08D563FF" w14:textId="77777777" w:rsidR="0058758A" w:rsidRPr="00BC2BFF" w:rsidRDefault="0058758A" w:rsidP="0058758A">
      <w:r>
        <w:sym w:font="Wingdings" w:char="F0A8"/>
      </w:r>
      <w:r>
        <w:t xml:space="preserve"> </w:t>
      </w:r>
      <w:proofErr w:type="gramStart"/>
      <w:r w:rsidRPr="00BC2BFF">
        <w:t>ne</w:t>
      </w:r>
      <w:proofErr w:type="gramEnd"/>
      <w:r w:rsidRPr="00BC2BFF">
        <w:t xml:space="preserve"> refuse pas de percevoir l’avance prévue à l’article 8 du présent document.</w:t>
      </w:r>
    </w:p>
    <w:p w14:paraId="7D69D6D8" w14:textId="73B9AE0B" w:rsidR="0058758A" w:rsidRDefault="0058758A" w:rsidP="0058758A">
      <w:pPr>
        <w:pBdr>
          <w:bottom w:val="single" w:sz="12" w:space="1" w:color="auto"/>
        </w:pBdr>
      </w:pPr>
      <w:r>
        <w:sym w:font="Wingdings" w:char="F06F"/>
      </w:r>
      <w:r>
        <w:t xml:space="preserve"> </w:t>
      </w:r>
      <w:proofErr w:type="gramStart"/>
      <w:r w:rsidRPr="00BC2BFF">
        <w:t>refuse</w:t>
      </w:r>
      <w:proofErr w:type="gramEnd"/>
      <w:r w:rsidRPr="00BC2BFF">
        <w:t xml:space="preserve"> de percevoir l’avance prévue à l’article 8 du présent document. </w:t>
      </w:r>
    </w:p>
    <w:p w14:paraId="3556C8DE" w14:textId="77777777" w:rsidR="0058758A" w:rsidRPr="003A4A1A" w:rsidRDefault="0058758A" w:rsidP="0058758A">
      <w:pPr>
        <w:pBdr>
          <w:bottom w:val="single" w:sz="12" w:space="1" w:color="auto"/>
        </w:pBdr>
      </w:pPr>
    </w:p>
    <w:p w14:paraId="7F719492" w14:textId="77777777" w:rsidR="003A4A1A" w:rsidRPr="003A4A1A" w:rsidRDefault="003A4A1A" w:rsidP="003A4A1A">
      <w:pPr>
        <w:tabs>
          <w:tab w:val="right" w:leader="dot" w:pos="8789"/>
        </w:tabs>
        <w:jc w:val="center"/>
      </w:pPr>
      <w:r w:rsidRPr="003A4A1A">
        <w:rPr>
          <w:b/>
        </w:rPr>
        <w:t>VISAS</w:t>
      </w:r>
    </w:p>
    <w:p w14:paraId="23A06DA9" w14:textId="77777777" w:rsidR="003A4A1A" w:rsidRPr="003A4A1A" w:rsidRDefault="003A4A1A" w:rsidP="003A4A1A">
      <w:pPr>
        <w:spacing w:after="0"/>
        <w:rPr>
          <w:rFonts w:eastAsia="Arial Narrow" w:cs="Arial Narrow"/>
        </w:rPr>
      </w:pPr>
      <w:r w:rsidRPr="003A4A1A">
        <w:rPr>
          <w:b/>
        </w:rPr>
        <w:t xml:space="preserve">INRAE – </w:t>
      </w:r>
      <w:r w:rsidRPr="003A4A1A">
        <w:rPr>
          <w:rFonts w:eastAsia="Arial Narrow" w:cs="Arial Narrow"/>
        </w:rPr>
        <w:t>Centre Ile-de-France - Jouy-en-Josas – Antony</w:t>
      </w:r>
    </w:p>
    <w:p w14:paraId="081A2696" w14:textId="72B320B1" w:rsidR="003A4A1A" w:rsidRPr="003A4A1A" w:rsidRDefault="003A4A1A" w:rsidP="003A4A1A">
      <w:pPr>
        <w:tabs>
          <w:tab w:val="right" w:leader="dot" w:pos="8789"/>
        </w:tabs>
      </w:pPr>
      <w:r w:rsidRPr="003A4A1A">
        <w:t>Est acceptée la présente offre :</w:t>
      </w:r>
    </w:p>
    <w:p w14:paraId="1BD1C9DF" w14:textId="30019663" w:rsidR="003A4A1A" w:rsidRPr="003A4A1A" w:rsidRDefault="006D7D4C" w:rsidP="003A4A1A">
      <w:pPr>
        <w:tabs>
          <w:tab w:val="left" w:pos="1440"/>
        </w:tabs>
        <w:contextualSpacing/>
      </w:pPr>
      <w:sdt>
        <w:sdtPr>
          <w:id w:val="-1865359984"/>
          <w14:checkbox>
            <w14:checked w14:val="0"/>
            <w14:checkedState w14:val="2612" w14:font="MS Gothic"/>
            <w14:uncheckedState w14:val="2610" w14:font="MS Gothic"/>
          </w14:checkbox>
        </w:sdtPr>
        <w:sdtEndPr/>
        <w:sdtContent>
          <w:r w:rsidR="003A4A1A" w:rsidRPr="003A4A1A">
            <w:rPr>
              <w:rFonts w:ascii="Segoe UI Symbol" w:eastAsia="MS Gothic" w:hAnsi="Segoe UI Symbol" w:cs="Segoe UI Symbol"/>
            </w:rPr>
            <w:t>☐</w:t>
          </w:r>
        </w:sdtContent>
      </w:sdt>
      <w:r w:rsidR="003A4A1A" w:rsidRPr="003A4A1A">
        <w:t xml:space="preserve"> Avec PSE 1 : 1 année supplémentaire de maintenance préventive </w:t>
      </w:r>
    </w:p>
    <w:p w14:paraId="5CEDE894" w14:textId="0A22A57A" w:rsidR="003A4A1A" w:rsidRPr="003A4A1A" w:rsidRDefault="006D7D4C" w:rsidP="003A4A1A">
      <w:pPr>
        <w:tabs>
          <w:tab w:val="left" w:pos="1440"/>
        </w:tabs>
        <w:contextualSpacing/>
      </w:pPr>
      <w:sdt>
        <w:sdtPr>
          <w:id w:val="847068651"/>
          <w14:checkbox>
            <w14:checked w14:val="0"/>
            <w14:checkedState w14:val="2612" w14:font="MS Gothic"/>
            <w14:uncheckedState w14:val="2610" w14:font="MS Gothic"/>
          </w14:checkbox>
        </w:sdtPr>
        <w:sdtEndPr/>
        <w:sdtContent>
          <w:r w:rsidR="003A4A1A" w:rsidRPr="003A4A1A">
            <w:rPr>
              <w:rFonts w:ascii="Segoe UI Symbol" w:eastAsia="MS Gothic" w:hAnsi="Segoe UI Symbol" w:cs="Segoe UI Symbol"/>
            </w:rPr>
            <w:t>☐</w:t>
          </w:r>
        </w:sdtContent>
      </w:sdt>
      <w:r w:rsidR="003A4A1A" w:rsidRPr="003A4A1A">
        <w:t xml:space="preserve"> Avec PSE 2 : 2 années supplémentaires de maintenance préventive </w:t>
      </w:r>
    </w:p>
    <w:p w14:paraId="47E19181" w14:textId="7B17234B" w:rsidR="003A4A1A" w:rsidRPr="003A4A1A" w:rsidRDefault="006D7D4C" w:rsidP="003A4A1A">
      <w:pPr>
        <w:tabs>
          <w:tab w:val="left" w:pos="1440"/>
        </w:tabs>
        <w:contextualSpacing/>
      </w:pPr>
      <w:sdt>
        <w:sdtPr>
          <w:id w:val="1891847626"/>
          <w14:checkbox>
            <w14:checked w14:val="0"/>
            <w14:checkedState w14:val="2612" w14:font="MS Gothic"/>
            <w14:uncheckedState w14:val="2610" w14:font="MS Gothic"/>
          </w14:checkbox>
        </w:sdtPr>
        <w:sdtEndPr/>
        <w:sdtContent>
          <w:r w:rsidR="003A4A1A" w:rsidRPr="003A4A1A">
            <w:rPr>
              <w:rFonts w:ascii="Segoe UI Symbol" w:eastAsia="MS Gothic" w:hAnsi="Segoe UI Symbol" w:cs="Segoe UI Symbol"/>
            </w:rPr>
            <w:t>☐</w:t>
          </w:r>
        </w:sdtContent>
      </w:sdt>
      <w:r w:rsidR="003A4A1A" w:rsidRPr="003A4A1A">
        <w:t xml:space="preserve"> Avec PSE 3 : 3 années supplémentaires de maintenance préventive </w:t>
      </w:r>
    </w:p>
    <w:p w14:paraId="41B1E563" w14:textId="77777777" w:rsidR="003A4A1A" w:rsidRPr="003A4A1A" w:rsidRDefault="003A4A1A" w:rsidP="003A4A1A">
      <w:pPr>
        <w:tabs>
          <w:tab w:val="left" w:pos="1440"/>
        </w:tabs>
        <w:contextualSpacing/>
      </w:pPr>
    </w:p>
    <w:p w14:paraId="1A781142" w14:textId="77777777" w:rsidR="003A4A1A" w:rsidRPr="003A4A1A" w:rsidRDefault="003A4A1A" w:rsidP="003A4A1A">
      <w:pPr>
        <w:tabs>
          <w:tab w:val="right" w:leader="dot" w:pos="8789"/>
        </w:tabs>
      </w:pPr>
      <w:proofErr w:type="gramStart"/>
      <w:r w:rsidRPr="003A4A1A">
        <w:t>pour</w:t>
      </w:r>
      <w:proofErr w:type="gramEnd"/>
      <w:r w:rsidRPr="003A4A1A">
        <w:t xml:space="preserve"> valoir acte d’engagement.</w:t>
      </w:r>
    </w:p>
    <w:p w14:paraId="6ACE4DF2" w14:textId="77777777" w:rsidR="003A4A1A" w:rsidRPr="003A4A1A" w:rsidRDefault="003A4A1A" w:rsidP="003A4A1A">
      <w:pPr>
        <w:tabs>
          <w:tab w:val="right" w:leader="dot" w:pos="8789"/>
        </w:tabs>
        <w:ind w:left="4962"/>
      </w:pPr>
      <w:r w:rsidRPr="003A4A1A">
        <w:t xml:space="preserve">A                </w:t>
      </w:r>
      <w:proofErr w:type="gramStart"/>
      <w:r w:rsidRPr="003A4A1A">
        <w:t xml:space="preserve">  ,</w:t>
      </w:r>
      <w:proofErr w:type="gramEnd"/>
      <w:r w:rsidRPr="003A4A1A">
        <w:t xml:space="preserve"> le </w:t>
      </w:r>
      <w:r w:rsidRPr="003A4A1A">
        <w:tab/>
      </w:r>
    </w:p>
    <w:p w14:paraId="428ED968" w14:textId="77777777" w:rsidR="003A4A1A" w:rsidRPr="003A4A1A" w:rsidRDefault="003A4A1A" w:rsidP="003A4A1A">
      <w:pPr>
        <w:spacing w:before="0" w:after="0"/>
        <w:ind w:left="4242" w:firstLine="720"/>
      </w:pPr>
      <w:r w:rsidRPr="003A4A1A">
        <w:t>La Représentante du Pouvoir Adjudicateur</w:t>
      </w:r>
    </w:p>
    <w:p w14:paraId="7D373089" w14:textId="05FF975A" w:rsidR="003A4A1A" w:rsidRPr="003A4A1A" w:rsidRDefault="003A4A1A" w:rsidP="003A4A1A">
      <w:pPr>
        <w:pStyle w:val="TM2"/>
        <w:spacing w:before="0" w:after="0"/>
        <w:rPr>
          <w:rFonts w:ascii="AvenirNext LT Pro Cn" w:hAnsi="AvenirNext LT Pro Cn"/>
        </w:rPr>
      </w:pPr>
      <w:r w:rsidRPr="003A4A1A">
        <w:rPr>
          <w:rFonts w:ascii="AvenirNext LT Pro Cn" w:hAnsi="AvenirNext LT Pro Cn"/>
        </w:rPr>
        <w:t xml:space="preserve">                                                                                                                          La Directrice </w:t>
      </w:r>
      <w:r w:rsidRPr="003A4A1A">
        <w:rPr>
          <w:rFonts w:ascii="AvenirNext LT Pro Cn" w:hAnsi="AvenirNext LT Pro Cn" w:cstheme="minorBidi"/>
        </w:rPr>
        <w:t>des Services d’Appui à la Recherche</w:t>
      </w:r>
    </w:p>
    <w:p w14:paraId="494DFC18" w14:textId="553F4CA8" w:rsidR="003A4A1A" w:rsidRPr="003A4A1A" w:rsidRDefault="003A4A1A" w:rsidP="003A4A1A">
      <w:pPr>
        <w:pStyle w:val="TM2"/>
        <w:spacing w:before="0" w:after="0"/>
        <w:rPr>
          <w:rFonts w:ascii="AvenirNext LT Pro Cn" w:hAnsi="AvenirNext LT Pro Cn" w:cstheme="minorBidi"/>
        </w:rPr>
      </w:pPr>
      <w:r w:rsidRPr="003A4A1A">
        <w:rPr>
          <w:rFonts w:ascii="AvenirNext LT Pro Cn" w:hAnsi="AvenirNext LT Pro Cn" w:cstheme="minorBidi"/>
        </w:rPr>
        <w:t xml:space="preserve">                                                                                                                          Sylvie Inizan</w:t>
      </w:r>
    </w:p>
    <w:p w14:paraId="532B8CB3" w14:textId="71AB76BE" w:rsidR="00796DA1" w:rsidRPr="0058758A" w:rsidRDefault="00796DA1" w:rsidP="00A92860">
      <w:pPr>
        <w:pStyle w:val="TM2"/>
        <w:rPr>
          <w:rFonts w:ascii="AvenirNext LT Pro Cn" w:hAnsi="AvenirNext LT Pro Cn"/>
          <w:sz w:val="24"/>
          <w:szCs w:val="24"/>
        </w:rPr>
      </w:pPr>
      <w:r w:rsidRPr="0058758A">
        <w:rPr>
          <w:rFonts w:ascii="AvenirNext LT Pro Cn" w:hAnsi="AvenirNext LT Pro Cn"/>
          <w:sz w:val="24"/>
          <w:szCs w:val="24"/>
        </w:rPr>
        <w:lastRenderedPageBreak/>
        <w:t>SOMMAIRE</w:t>
      </w:r>
    </w:p>
    <w:p w14:paraId="5ADF5CB2" w14:textId="5AFCE42F" w:rsidR="009D3B33" w:rsidRDefault="00B3398C">
      <w:pPr>
        <w:pStyle w:val="TM1"/>
        <w:tabs>
          <w:tab w:val="left" w:pos="480"/>
          <w:tab w:val="right" w:leader="dot" w:pos="9054"/>
        </w:tabs>
        <w:rPr>
          <w:rFonts w:asciiTheme="minorHAnsi" w:eastAsiaTheme="minorEastAsia" w:hAnsiTheme="minorHAnsi"/>
          <w:noProof/>
          <w:lang w:eastAsia="fr-FR"/>
        </w:rPr>
      </w:pPr>
      <w:r w:rsidRPr="0058758A">
        <w:rPr>
          <w:sz w:val="24"/>
          <w:szCs w:val="24"/>
        </w:rPr>
        <w:fldChar w:fldCharType="begin"/>
      </w:r>
      <w:r w:rsidRPr="0058758A">
        <w:rPr>
          <w:sz w:val="24"/>
          <w:szCs w:val="24"/>
        </w:rPr>
        <w:instrText xml:space="preserve"> TOC \o "1-3" \h \z \u </w:instrText>
      </w:r>
      <w:r w:rsidRPr="0058758A">
        <w:rPr>
          <w:sz w:val="24"/>
          <w:szCs w:val="24"/>
        </w:rPr>
        <w:fldChar w:fldCharType="separate"/>
      </w:r>
      <w:hyperlink w:anchor="_Toc190693408" w:history="1">
        <w:r w:rsidR="009D3B33" w:rsidRPr="00AE4A03">
          <w:rPr>
            <w:rStyle w:val="Lienhypertexte"/>
            <w:b/>
            <w:i/>
            <w:iCs/>
            <w:noProof/>
          </w:rPr>
          <w:t>1.</w:t>
        </w:r>
        <w:r w:rsidR="009D3B33">
          <w:rPr>
            <w:rFonts w:asciiTheme="minorHAnsi" w:eastAsiaTheme="minorEastAsia" w:hAnsiTheme="minorHAnsi"/>
            <w:noProof/>
            <w:lang w:eastAsia="fr-FR"/>
          </w:rPr>
          <w:tab/>
        </w:r>
        <w:r w:rsidR="009D3B33" w:rsidRPr="00AE4A03">
          <w:rPr>
            <w:rStyle w:val="Lienhypertexte"/>
            <w:noProof/>
          </w:rPr>
          <w:t>OBJET ET FORME DU MARCHE</w:t>
        </w:r>
        <w:r w:rsidR="009D3B33">
          <w:rPr>
            <w:noProof/>
            <w:webHidden/>
          </w:rPr>
          <w:tab/>
        </w:r>
        <w:r w:rsidR="009D3B33">
          <w:rPr>
            <w:noProof/>
            <w:webHidden/>
          </w:rPr>
          <w:fldChar w:fldCharType="begin"/>
        </w:r>
        <w:r w:rsidR="009D3B33">
          <w:rPr>
            <w:noProof/>
            <w:webHidden/>
          </w:rPr>
          <w:instrText xml:space="preserve"> PAGEREF _Toc190693408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45F400BD" w14:textId="553212BE" w:rsidR="009D3B33" w:rsidRDefault="006D7D4C">
      <w:pPr>
        <w:pStyle w:val="TM2"/>
        <w:rPr>
          <w:rFonts w:asciiTheme="minorHAnsi" w:eastAsiaTheme="minorEastAsia" w:hAnsiTheme="minorHAnsi" w:cstheme="minorBidi"/>
          <w:noProof/>
          <w:lang w:eastAsia="fr-FR"/>
        </w:rPr>
      </w:pPr>
      <w:hyperlink w:anchor="_Toc190693409" w:history="1">
        <w:r w:rsidR="009D3B33" w:rsidRPr="00AE4A03">
          <w:rPr>
            <w:rStyle w:val="Lienhypertexte"/>
            <w:rFonts w:ascii="AvenirNext LT Pro Cn" w:hAnsi="AvenirNext LT Pro Cn"/>
            <w:noProof/>
          </w:rPr>
          <w:t>1.1 - Objet du marché</w:t>
        </w:r>
        <w:r w:rsidR="009D3B33">
          <w:rPr>
            <w:noProof/>
            <w:webHidden/>
          </w:rPr>
          <w:tab/>
        </w:r>
        <w:r w:rsidR="009D3B33">
          <w:rPr>
            <w:noProof/>
            <w:webHidden/>
          </w:rPr>
          <w:fldChar w:fldCharType="begin"/>
        </w:r>
        <w:r w:rsidR="009D3B33">
          <w:rPr>
            <w:noProof/>
            <w:webHidden/>
          </w:rPr>
          <w:instrText xml:space="preserve"> PAGEREF _Toc190693409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3CCD37F7" w14:textId="01E2D3E8" w:rsidR="009D3B33" w:rsidRDefault="006D7D4C">
      <w:pPr>
        <w:pStyle w:val="TM2"/>
        <w:rPr>
          <w:rFonts w:asciiTheme="minorHAnsi" w:eastAsiaTheme="minorEastAsia" w:hAnsiTheme="minorHAnsi" w:cstheme="minorBidi"/>
          <w:noProof/>
          <w:lang w:eastAsia="fr-FR"/>
        </w:rPr>
      </w:pPr>
      <w:hyperlink w:anchor="_Toc190693410" w:history="1">
        <w:r w:rsidR="009D3B33" w:rsidRPr="00AE4A03">
          <w:rPr>
            <w:rStyle w:val="Lienhypertexte"/>
            <w:rFonts w:ascii="AvenirNext LT Pro Cn" w:hAnsi="AvenirNext LT Pro Cn"/>
            <w:noProof/>
          </w:rPr>
          <w:t>1.2. – Décomposition en lots/Tranches/Options/Prestations Supplémentaires Eventuelles/Variantes</w:t>
        </w:r>
        <w:r w:rsidR="009D3B33">
          <w:rPr>
            <w:noProof/>
            <w:webHidden/>
          </w:rPr>
          <w:tab/>
        </w:r>
        <w:r w:rsidR="009D3B33">
          <w:rPr>
            <w:noProof/>
            <w:webHidden/>
          </w:rPr>
          <w:fldChar w:fldCharType="begin"/>
        </w:r>
        <w:r w:rsidR="009D3B33">
          <w:rPr>
            <w:noProof/>
            <w:webHidden/>
          </w:rPr>
          <w:instrText xml:space="preserve"> PAGEREF _Toc190693410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27E8C863" w14:textId="7CE5C608" w:rsidR="009D3B33" w:rsidRDefault="006D7D4C">
      <w:pPr>
        <w:pStyle w:val="TM2"/>
        <w:rPr>
          <w:rFonts w:asciiTheme="minorHAnsi" w:eastAsiaTheme="minorEastAsia" w:hAnsiTheme="minorHAnsi" w:cstheme="minorBidi"/>
          <w:noProof/>
          <w:lang w:eastAsia="fr-FR"/>
        </w:rPr>
      </w:pPr>
      <w:hyperlink w:anchor="_Toc190693411" w:history="1">
        <w:r w:rsidR="009D3B33" w:rsidRPr="00AE4A03">
          <w:rPr>
            <w:rStyle w:val="Lienhypertexte"/>
            <w:i/>
            <w:iCs/>
            <w:noProof/>
          </w:rPr>
          <w:t>Article 1.2.1 – Décomposition en lots</w:t>
        </w:r>
        <w:r w:rsidR="009D3B33">
          <w:rPr>
            <w:noProof/>
            <w:webHidden/>
          </w:rPr>
          <w:tab/>
        </w:r>
        <w:r w:rsidR="009D3B33">
          <w:rPr>
            <w:noProof/>
            <w:webHidden/>
          </w:rPr>
          <w:fldChar w:fldCharType="begin"/>
        </w:r>
        <w:r w:rsidR="009D3B33">
          <w:rPr>
            <w:noProof/>
            <w:webHidden/>
          </w:rPr>
          <w:instrText xml:space="preserve"> PAGEREF _Toc190693411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285C46A6" w14:textId="7550414D" w:rsidR="009D3B33" w:rsidRDefault="006D7D4C">
      <w:pPr>
        <w:pStyle w:val="TM2"/>
        <w:rPr>
          <w:rFonts w:asciiTheme="minorHAnsi" w:eastAsiaTheme="minorEastAsia" w:hAnsiTheme="minorHAnsi" w:cstheme="minorBidi"/>
          <w:noProof/>
          <w:lang w:eastAsia="fr-FR"/>
        </w:rPr>
      </w:pPr>
      <w:hyperlink w:anchor="_Toc190693412" w:history="1">
        <w:r w:rsidR="009D3B33" w:rsidRPr="00AE4A03">
          <w:rPr>
            <w:rStyle w:val="Lienhypertexte"/>
            <w:iCs/>
            <w:noProof/>
          </w:rPr>
          <w:t>Les prestations sont dévolues en lot unique.</w:t>
        </w:r>
        <w:r w:rsidR="009D3B33">
          <w:rPr>
            <w:noProof/>
            <w:webHidden/>
          </w:rPr>
          <w:tab/>
        </w:r>
        <w:r w:rsidR="009D3B33">
          <w:rPr>
            <w:noProof/>
            <w:webHidden/>
          </w:rPr>
          <w:fldChar w:fldCharType="begin"/>
        </w:r>
        <w:r w:rsidR="009D3B33">
          <w:rPr>
            <w:noProof/>
            <w:webHidden/>
          </w:rPr>
          <w:instrText xml:space="preserve"> PAGEREF _Toc190693412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770F091F" w14:textId="597CEB48" w:rsidR="009D3B33" w:rsidRDefault="006D7D4C">
      <w:pPr>
        <w:pStyle w:val="TM2"/>
        <w:rPr>
          <w:rFonts w:asciiTheme="minorHAnsi" w:eastAsiaTheme="minorEastAsia" w:hAnsiTheme="minorHAnsi" w:cstheme="minorBidi"/>
          <w:noProof/>
          <w:lang w:eastAsia="fr-FR"/>
        </w:rPr>
      </w:pPr>
      <w:hyperlink w:anchor="_Toc190693413" w:history="1">
        <w:r w:rsidR="009D3B33" w:rsidRPr="00AE4A03">
          <w:rPr>
            <w:rStyle w:val="Lienhypertexte"/>
            <w:i/>
            <w:iCs/>
            <w:noProof/>
          </w:rPr>
          <w:t>Article 1.2.2 – Décomposition en tranches</w:t>
        </w:r>
        <w:r w:rsidR="009D3B33">
          <w:rPr>
            <w:noProof/>
            <w:webHidden/>
          </w:rPr>
          <w:tab/>
        </w:r>
        <w:r w:rsidR="009D3B33">
          <w:rPr>
            <w:noProof/>
            <w:webHidden/>
          </w:rPr>
          <w:fldChar w:fldCharType="begin"/>
        </w:r>
        <w:r w:rsidR="009D3B33">
          <w:rPr>
            <w:noProof/>
            <w:webHidden/>
          </w:rPr>
          <w:instrText xml:space="preserve"> PAGEREF _Toc190693413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16DDDAA8" w14:textId="41B45B5D" w:rsidR="009D3B33" w:rsidRDefault="006D7D4C">
      <w:pPr>
        <w:pStyle w:val="TM2"/>
        <w:rPr>
          <w:rFonts w:asciiTheme="minorHAnsi" w:eastAsiaTheme="minorEastAsia" w:hAnsiTheme="minorHAnsi" w:cstheme="minorBidi"/>
          <w:noProof/>
          <w:lang w:eastAsia="fr-FR"/>
        </w:rPr>
      </w:pPr>
      <w:hyperlink w:anchor="_Toc190693414" w:history="1">
        <w:r w:rsidR="009D3B33" w:rsidRPr="00AE4A03">
          <w:rPr>
            <w:rStyle w:val="Lienhypertexte"/>
            <w:iCs/>
            <w:noProof/>
          </w:rPr>
          <w:t>Sans objet</w:t>
        </w:r>
        <w:r w:rsidR="009D3B33">
          <w:rPr>
            <w:noProof/>
            <w:webHidden/>
          </w:rPr>
          <w:tab/>
        </w:r>
        <w:r w:rsidR="009D3B33">
          <w:rPr>
            <w:noProof/>
            <w:webHidden/>
          </w:rPr>
          <w:fldChar w:fldCharType="begin"/>
        </w:r>
        <w:r w:rsidR="009D3B33">
          <w:rPr>
            <w:noProof/>
            <w:webHidden/>
          </w:rPr>
          <w:instrText xml:space="preserve"> PAGEREF _Toc190693414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581A2430" w14:textId="06171EF9" w:rsidR="009D3B33" w:rsidRDefault="006D7D4C">
      <w:pPr>
        <w:pStyle w:val="TM2"/>
        <w:rPr>
          <w:rFonts w:asciiTheme="minorHAnsi" w:eastAsiaTheme="minorEastAsia" w:hAnsiTheme="minorHAnsi" w:cstheme="minorBidi"/>
          <w:noProof/>
          <w:lang w:eastAsia="fr-FR"/>
        </w:rPr>
      </w:pPr>
      <w:hyperlink w:anchor="_Toc190693415" w:history="1">
        <w:r w:rsidR="009D3B33" w:rsidRPr="00AE4A03">
          <w:rPr>
            <w:rStyle w:val="Lienhypertexte"/>
            <w:i/>
            <w:iCs/>
            <w:noProof/>
          </w:rPr>
          <w:t>Article 1.2.3 – Options</w:t>
        </w:r>
        <w:r w:rsidR="009D3B33">
          <w:rPr>
            <w:noProof/>
            <w:webHidden/>
          </w:rPr>
          <w:tab/>
        </w:r>
        <w:r w:rsidR="009D3B33">
          <w:rPr>
            <w:noProof/>
            <w:webHidden/>
          </w:rPr>
          <w:fldChar w:fldCharType="begin"/>
        </w:r>
        <w:r w:rsidR="009D3B33">
          <w:rPr>
            <w:noProof/>
            <w:webHidden/>
          </w:rPr>
          <w:instrText xml:space="preserve"> PAGEREF _Toc190693415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7DEB3860" w14:textId="704F4278" w:rsidR="009D3B33" w:rsidRDefault="006D7D4C">
      <w:pPr>
        <w:pStyle w:val="TM2"/>
        <w:rPr>
          <w:rFonts w:asciiTheme="minorHAnsi" w:eastAsiaTheme="minorEastAsia" w:hAnsiTheme="minorHAnsi" w:cstheme="minorBidi"/>
          <w:noProof/>
          <w:lang w:eastAsia="fr-FR"/>
        </w:rPr>
      </w:pPr>
      <w:hyperlink w:anchor="_Toc190693416" w:history="1">
        <w:r w:rsidR="009D3B33" w:rsidRPr="00AE4A03">
          <w:rPr>
            <w:rStyle w:val="Lienhypertexte"/>
            <w:i/>
            <w:iCs/>
            <w:noProof/>
          </w:rPr>
          <w:t>Article 1.2.4 – Prestations Supplémentaires Eventuelles (PSE)</w:t>
        </w:r>
        <w:r w:rsidR="009D3B33">
          <w:rPr>
            <w:noProof/>
            <w:webHidden/>
          </w:rPr>
          <w:tab/>
        </w:r>
        <w:r w:rsidR="009D3B33">
          <w:rPr>
            <w:noProof/>
            <w:webHidden/>
          </w:rPr>
          <w:fldChar w:fldCharType="begin"/>
        </w:r>
        <w:r w:rsidR="009D3B33">
          <w:rPr>
            <w:noProof/>
            <w:webHidden/>
          </w:rPr>
          <w:instrText xml:space="preserve"> PAGEREF _Toc190693416 \h </w:instrText>
        </w:r>
        <w:r w:rsidR="009D3B33">
          <w:rPr>
            <w:noProof/>
            <w:webHidden/>
          </w:rPr>
        </w:r>
        <w:r w:rsidR="009D3B33">
          <w:rPr>
            <w:noProof/>
            <w:webHidden/>
          </w:rPr>
          <w:fldChar w:fldCharType="separate"/>
        </w:r>
        <w:r w:rsidR="009D3B33">
          <w:rPr>
            <w:noProof/>
            <w:webHidden/>
          </w:rPr>
          <w:t>6</w:t>
        </w:r>
        <w:r w:rsidR="009D3B33">
          <w:rPr>
            <w:noProof/>
            <w:webHidden/>
          </w:rPr>
          <w:fldChar w:fldCharType="end"/>
        </w:r>
      </w:hyperlink>
    </w:p>
    <w:p w14:paraId="43DEAD24" w14:textId="31C4FD4A" w:rsidR="009D3B33" w:rsidRDefault="006D7D4C">
      <w:pPr>
        <w:pStyle w:val="TM2"/>
        <w:rPr>
          <w:rFonts w:asciiTheme="minorHAnsi" w:eastAsiaTheme="minorEastAsia" w:hAnsiTheme="minorHAnsi" w:cstheme="minorBidi"/>
          <w:noProof/>
          <w:lang w:eastAsia="fr-FR"/>
        </w:rPr>
      </w:pPr>
      <w:hyperlink w:anchor="_Toc190693417" w:history="1">
        <w:r w:rsidR="009D3B33" w:rsidRPr="00AE4A03">
          <w:rPr>
            <w:rStyle w:val="Lienhypertexte"/>
            <w:i/>
            <w:iCs/>
            <w:noProof/>
          </w:rPr>
          <w:t>Article 1.2.5 - Variantes</w:t>
        </w:r>
        <w:r w:rsidR="009D3B33">
          <w:rPr>
            <w:noProof/>
            <w:webHidden/>
          </w:rPr>
          <w:tab/>
        </w:r>
        <w:r w:rsidR="009D3B33">
          <w:rPr>
            <w:noProof/>
            <w:webHidden/>
          </w:rPr>
          <w:fldChar w:fldCharType="begin"/>
        </w:r>
        <w:r w:rsidR="009D3B33">
          <w:rPr>
            <w:noProof/>
            <w:webHidden/>
          </w:rPr>
          <w:instrText xml:space="preserve"> PAGEREF _Toc190693417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50A51811" w14:textId="7156FFD9" w:rsidR="009D3B33" w:rsidRDefault="006D7D4C">
      <w:pPr>
        <w:pStyle w:val="TM2"/>
        <w:rPr>
          <w:rFonts w:asciiTheme="minorHAnsi" w:eastAsiaTheme="minorEastAsia" w:hAnsiTheme="minorHAnsi" w:cstheme="minorBidi"/>
          <w:noProof/>
          <w:lang w:eastAsia="fr-FR"/>
        </w:rPr>
      </w:pPr>
      <w:hyperlink w:anchor="_Toc190693418" w:history="1">
        <w:r w:rsidR="009D3B33" w:rsidRPr="00AE4A03">
          <w:rPr>
            <w:rStyle w:val="Lienhypertexte"/>
            <w:iCs/>
            <w:noProof/>
          </w:rPr>
          <w:t>Les variantes ne sont pas autorisées. Les soumissionnaires doivent obligatoirement présenter une offre entièrement conforme au dossier de consultation.</w:t>
        </w:r>
        <w:r w:rsidR="009D3B33">
          <w:rPr>
            <w:noProof/>
            <w:webHidden/>
          </w:rPr>
          <w:tab/>
        </w:r>
        <w:r w:rsidR="009D3B33">
          <w:rPr>
            <w:noProof/>
            <w:webHidden/>
          </w:rPr>
          <w:fldChar w:fldCharType="begin"/>
        </w:r>
        <w:r w:rsidR="009D3B33">
          <w:rPr>
            <w:noProof/>
            <w:webHidden/>
          </w:rPr>
          <w:instrText xml:space="preserve"> PAGEREF _Toc190693418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689923C8" w14:textId="70333609" w:rsidR="009D3B33" w:rsidRDefault="006D7D4C">
      <w:pPr>
        <w:pStyle w:val="TM2"/>
        <w:rPr>
          <w:rFonts w:asciiTheme="minorHAnsi" w:eastAsiaTheme="minorEastAsia" w:hAnsiTheme="minorHAnsi" w:cstheme="minorBidi"/>
          <w:noProof/>
          <w:lang w:eastAsia="fr-FR"/>
        </w:rPr>
      </w:pPr>
      <w:hyperlink w:anchor="_Toc190693419" w:history="1">
        <w:r w:rsidR="009D3B33" w:rsidRPr="00AE4A03">
          <w:rPr>
            <w:rStyle w:val="Lienhypertexte"/>
            <w:rFonts w:ascii="AvenirNext LT Pro Cn" w:hAnsi="AvenirNext LT Pro Cn"/>
            <w:noProof/>
          </w:rPr>
          <w:t>1.3. – Forme</w:t>
        </w:r>
        <w:r w:rsidR="009D3B33">
          <w:rPr>
            <w:noProof/>
            <w:webHidden/>
          </w:rPr>
          <w:tab/>
        </w:r>
        <w:r w:rsidR="009D3B33">
          <w:rPr>
            <w:noProof/>
            <w:webHidden/>
          </w:rPr>
          <w:fldChar w:fldCharType="begin"/>
        </w:r>
        <w:r w:rsidR="009D3B33">
          <w:rPr>
            <w:noProof/>
            <w:webHidden/>
          </w:rPr>
          <w:instrText xml:space="preserve"> PAGEREF _Toc190693419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55FEA72A" w14:textId="60DDF62C" w:rsidR="009D3B33" w:rsidRDefault="006D7D4C">
      <w:pPr>
        <w:pStyle w:val="TM2"/>
        <w:rPr>
          <w:rFonts w:asciiTheme="minorHAnsi" w:eastAsiaTheme="minorEastAsia" w:hAnsiTheme="minorHAnsi" w:cstheme="minorBidi"/>
          <w:noProof/>
          <w:lang w:eastAsia="fr-FR"/>
        </w:rPr>
      </w:pPr>
      <w:hyperlink w:anchor="_Toc190693420" w:history="1">
        <w:r w:rsidR="009D3B33" w:rsidRPr="00AE4A03">
          <w:rPr>
            <w:rStyle w:val="Lienhypertexte"/>
            <w:rFonts w:ascii="AvenirNext LT Pro Cn" w:hAnsi="AvenirNext LT Pro Cn"/>
            <w:noProof/>
          </w:rPr>
          <w:t>1.4. – Modifications du marché</w:t>
        </w:r>
        <w:r w:rsidR="009D3B33">
          <w:rPr>
            <w:noProof/>
            <w:webHidden/>
          </w:rPr>
          <w:tab/>
        </w:r>
        <w:r w:rsidR="009D3B33">
          <w:rPr>
            <w:noProof/>
            <w:webHidden/>
          </w:rPr>
          <w:fldChar w:fldCharType="begin"/>
        </w:r>
        <w:r w:rsidR="009D3B33">
          <w:rPr>
            <w:noProof/>
            <w:webHidden/>
          </w:rPr>
          <w:instrText xml:space="preserve"> PAGEREF _Toc190693420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255FEB99" w14:textId="421641FB"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21" w:history="1">
        <w:r w:rsidR="009D3B33" w:rsidRPr="00AE4A03">
          <w:rPr>
            <w:rStyle w:val="Lienhypertexte"/>
            <w:b/>
            <w:i/>
            <w:iCs/>
            <w:noProof/>
          </w:rPr>
          <w:t>2.</w:t>
        </w:r>
        <w:r w:rsidR="009D3B33">
          <w:rPr>
            <w:rFonts w:asciiTheme="minorHAnsi" w:eastAsiaTheme="minorEastAsia" w:hAnsiTheme="minorHAnsi"/>
            <w:noProof/>
            <w:lang w:eastAsia="fr-FR"/>
          </w:rPr>
          <w:tab/>
        </w:r>
        <w:r w:rsidR="009D3B33" w:rsidRPr="00AE4A03">
          <w:rPr>
            <w:rStyle w:val="Lienhypertexte"/>
            <w:noProof/>
          </w:rPr>
          <w:t>PIÈCES CONTRACTUELLES DU MARCHÉ</w:t>
        </w:r>
        <w:r w:rsidR="009D3B33">
          <w:rPr>
            <w:noProof/>
            <w:webHidden/>
          </w:rPr>
          <w:tab/>
        </w:r>
        <w:r w:rsidR="009D3B33">
          <w:rPr>
            <w:noProof/>
            <w:webHidden/>
          </w:rPr>
          <w:fldChar w:fldCharType="begin"/>
        </w:r>
        <w:r w:rsidR="009D3B33">
          <w:rPr>
            <w:noProof/>
            <w:webHidden/>
          </w:rPr>
          <w:instrText xml:space="preserve"> PAGEREF _Toc190693421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6BDE114A" w14:textId="3A66B413" w:rsidR="009D3B33" w:rsidRDefault="006D7D4C">
      <w:pPr>
        <w:pStyle w:val="TM2"/>
        <w:rPr>
          <w:rFonts w:asciiTheme="minorHAnsi" w:eastAsiaTheme="minorEastAsia" w:hAnsiTheme="minorHAnsi" w:cstheme="minorBidi"/>
          <w:noProof/>
          <w:lang w:eastAsia="fr-FR"/>
        </w:rPr>
      </w:pPr>
      <w:hyperlink w:anchor="_Toc190693422" w:history="1">
        <w:r w:rsidR="009D3B33" w:rsidRPr="00AE4A03">
          <w:rPr>
            <w:rStyle w:val="Lienhypertexte"/>
            <w:rFonts w:ascii="AvenirNext LT Pro Cn" w:hAnsi="AvenirNext LT Pro Cn"/>
            <w:noProof/>
          </w:rPr>
          <w:t>2.1 – Pièces particulières</w:t>
        </w:r>
        <w:r w:rsidR="009D3B33">
          <w:rPr>
            <w:noProof/>
            <w:webHidden/>
          </w:rPr>
          <w:tab/>
        </w:r>
        <w:r w:rsidR="009D3B33">
          <w:rPr>
            <w:noProof/>
            <w:webHidden/>
          </w:rPr>
          <w:fldChar w:fldCharType="begin"/>
        </w:r>
        <w:r w:rsidR="009D3B33">
          <w:rPr>
            <w:noProof/>
            <w:webHidden/>
          </w:rPr>
          <w:instrText xml:space="preserve"> PAGEREF _Toc190693422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414A3360" w14:textId="78F6D7EB" w:rsidR="009D3B33" w:rsidRDefault="006D7D4C">
      <w:pPr>
        <w:pStyle w:val="TM2"/>
        <w:rPr>
          <w:rFonts w:asciiTheme="minorHAnsi" w:eastAsiaTheme="minorEastAsia" w:hAnsiTheme="minorHAnsi" w:cstheme="minorBidi"/>
          <w:noProof/>
          <w:lang w:eastAsia="fr-FR"/>
        </w:rPr>
      </w:pPr>
      <w:hyperlink w:anchor="_Toc190693423" w:history="1">
        <w:r w:rsidR="009D3B33" w:rsidRPr="00AE4A03">
          <w:rPr>
            <w:rStyle w:val="Lienhypertexte"/>
            <w:rFonts w:ascii="AvenirNext LT Pro Cn" w:hAnsi="AvenirNext LT Pro Cn"/>
            <w:noProof/>
          </w:rPr>
          <w:t>2.2 – Pièces générales</w:t>
        </w:r>
        <w:r w:rsidR="009D3B33">
          <w:rPr>
            <w:noProof/>
            <w:webHidden/>
          </w:rPr>
          <w:tab/>
        </w:r>
        <w:r w:rsidR="009D3B33">
          <w:rPr>
            <w:noProof/>
            <w:webHidden/>
          </w:rPr>
          <w:fldChar w:fldCharType="begin"/>
        </w:r>
        <w:r w:rsidR="009D3B33">
          <w:rPr>
            <w:noProof/>
            <w:webHidden/>
          </w:rPr>
          <w:instrText xml:space="preserve"> PAGEREF _Toc190693423 \h </w:instrText>
        </w:r>
        <w:r w:rsidR="009D3B33">
          <w:rPr>
            <w:noProof/>
            <w:webHidden/>
          </w:rPr>
        </w:r>
        <w:r w:rsidR="009D3B33">
          <w:rPr>
            <w:noProof/>
            <w:webHidden/>
          </w:rPr>
          <w:fldChar w:fldCharType="separate"/>
        </w:r>
        <w:r w:rsidR="009D3B33">
          <w:rPr>
            <w:noProof/>
            <w:webHidden/>
          </w:rPr>
          <w:t>7</w:t>
        </w:r>
        <w:r w:rsidR="009D3B33">
          <w:rPr>
            <w:noProof/>
            <w:webHidden/>
          </w:rPr>
          <w:fldChar w:fldCharType="end"/>
        </w:r>
      </w:hyperlink>
    </w:p>
    <w:p w14:paraId="56A1CE81" w14:textId="016EF515"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24" w:history="1">
        <w:r w:rsidR="009D3B33" w:rsidRPr="00AE4A03">
          <w:rPr>
            <w:rStyle w:val="Lienhypertexte"/>
            <w:b/>
            <w:i/>
            <w:iCs/>
            <w:noProof/>
          </w:rPr>
          <w:t>3.</w:t>
        </w:r>
        <w:r w:rsidR="009D3B33">
          <w:rPr>
            <w:rFonts w:asciiTheme="minorHAnsi" w:eastAsiaTheme="minorEastAsia" w:hAnsiTheme="minorHAnsi"/>
            <w:noProof/>
            <w:lang w:eastAsia="fr-FR"/>
          </w:rPr>
          <w:tab/>
        </w:r>
        <w:r w:rsidR="009D3B33" w:rsidRPr="00AE4A03">
          <w:rPr>
            <w:rStyle w:val="Lienhypertexte"/>
            <w:noProof/>
          </w:rPr>
          <w:t>CONTENU DES PRESTATIONS</w:t>
        </w:r>
        <w:r w:rsidR="009D3B33">
          <w:rPr>
            <w:noProof/>
            <w:webHidden/>
          </w:rPr>
          <w:tab/>
        </w:r>
        <w:r w:rsidR="009D3B33">
          <w:rPr>
            <w:noProof/>
            <w:webHidden/>
          </w:rPr>
          <w:fldChar w:fldCharType="begin"/>
        </w:r>
        <w:r w:rsidR="009D3B33">
          <w:rPr>
            <w:noProof/>
            <w:webHidden/>
          </w:rPr>
          <w:instrText xml:space="preserve"> PAGEREF _Toc190693424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187C0288" w14:textId="2327812A" w:rsidR="009D3B33" w:rsidRDefault="006D7D4C">
      <w:pPr>
        <w:pStyle w:val="TM2"/>
        <w:tabs>
          <w:tab w:val="left" w:pos="660"/>
        </w:tabs>
        <w:rPr>
          <w:rFonts w:asciiTheme="minorHAnsi" w:eastAsiaTheme="minorEastAsia" w:hAnsiTheme="minorHAnsi" w:cstheme="minorBidi"/>
          <w:noProof/>
          <w:lang w:eastAsia="fr-FR"/>
        </w:rPr>
      </w:pPr>
      <w:hyperlink w:anchor="_Toc190693425" w:history="1">
        <w:r w:rsidR="009D3B33" w:rsidRPr="00AE4A03">
          <w:rPr>
            <w:rStyle w:val="Lienhypertexte"/>
            <w:rFonts w:ascii="AvenirNext LT Pro Cn" w:hAnsi="AvenirNext LT Pro Cn"/>
            <w:noProof/>
          </w:rPr>
          <w:t>3.1.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Performances techniques - Normes</w:t>
        </w:r>
        <w:r w:rsidR="009D3B33">
          <w:rPr>
            <w:noProof/>
            <w:webHidden/>
          </w:rPr>
          <w:tab/>
        </w:r>
        <w:r w:rsidR="009D3B33">
          <w:rPr>
            <w:noProof/>
            <w:webHidden/>
          </w:rPr>
          <w:fldChar w:fldCharType="begin"/>
        </w:r>
        <w:r w:rsidR="009D3B33">
          <w:rPr>
            <w:noProof/>
            <w:webHidden/>
          </w:rPr>
          <w:instrText xml:space="preserve"> PAGEREF _Toc190693425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6879E2D0" w14:textId="365C5BAA" w:rsidR="009D3B33" w:rsidRDefault="006D7D4C">
      <w:pPr>
        <w:pStyle w:val="TM2"/>
        <w:tabs>
          <w:tab w:val="left" w:pos="660"/>
        </w:tabs>
        <w:rPr>
          <w:rFonts w:asciiTheme="minorHAnsi" w:eastAsiaTheme="minorEastAsia" w:hAnsiTheme="minorHAnsi" w:cstheme="minorBidi"/>
          <w:noProof/>
          <w:lang w:eastAsia="fr-FR"/>
        </w:rPr>
      </w:pPr>
      <w:hyperlink w:anchor="_Toc190693426" w:history="1">
        <w:r w:rsidR="009D3B33" w:rsidRPr="00AE4A03">
          <w:rPr>
            <w:rStyle w:val="Lienhypertexte"/>
            <w:rFonts w:ascii="AvenirNext LT Pro Cn" w:hAnsi="AvenirNext LT Pro Cn"/>
            <w:noProof/>
          </w:rPr>
          <w:t>3.2.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Spécifications techniques</w:t>
        </w:r>
        <w:r w:rsidR="009D3B33">
          <w:rPr>
            <w:noProof/>
            <w:webHidden/>
          </w:rPr>
          <w:tab/>
        </w:r>
        <w:r w:rsidR="009D3B33">
          <w:rPr>
            <w:noProof/>
            <w:webHidden/>
          </w:rPr>
          <w:fldChar w:fldCharType="begin"/>
        </w:r>
        <w:r w:rsidR="009D3B33">
          <w:rPr>
            <w:noProof/>
            <w:webHidden/>
          </w:rPr>
          <w:instrText xml:space="preserve"> PAGEREF _Toc190693426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26FF2360" w14:textId="08409637" w:rsidR="009D3B33" w:rsidRDefault="006D7D4C">
      <w:pPr>
        <w:pStyle w:val="TM2"/>
        <w:tabs>
          <w:tab w:val="left" w:pos="660"/>
        </w:tabs>
        <w:rPr>
          <w:rFonts w:asciiTheme="minorHAnsi" w:eastAsiaTheme="minorEastAsia" w:hAnsiTheme="minorHAnsi" w:cstheme="minorBidi"/>
          <w:noProof/>
          <w:lang w:eastAsia="fr-FR"/>
        </w:rPr>
      </w:pPr>
      <w:hyperlink w:anchor="_Toc190693427" w:history="1">
        <w:r w:rsidR="009D3B33" w:rsidRPr="00AE4A03">
          <w:rPr>
            <w:rStyle w:val="Lienhypertexte"/>
            <w:rFonts w:ascii="AvenirNext LT Pro Cn" w:hAnsi="AvenirNext LT Pro Cn"/>
            <w:noProof/>
          </w:rPr>
          <w:t>3.3.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Indicateurs de suivi et taux de disponibilité</w:t>
        </w:r>
        <w:r w:rsidR="009D3B33">
          <w:rPr>
            <w:noProof/>
            <w:webHidden/>
          </w:rPr>
          <w:tab/>
        </w:r>
        <w:r w:rsidR="009D3B33">
          <w:rPr>
            <w:noProof/>
            <w:webHidden/>
          </w:rPr>
          <w:fldChar w:fldCharType="begin"/>
        </w:r>
        <w:r w:rsidR="009D3B33">
          <w:rPr>
            <w:noProof/>
            <w:webHidden/>
          </w:rPr>
          <w:instrText xml:space="preserve"> PAGEREF _Toc190693427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24FCDD3D" w14:textId="11F8C26D" w:rsidR="009D3B33" w:rsidRDefault="006D7D4C">
      <w:pPr>
        <w:pStyle w:val="TM2"/>
        <w:tabs>
          <w:tab w:val="left" w:pos="660"/>
        </w:tabs>
        <w:rPr>
          <w:rFonts w:asciiTheme="minorHAnsi" w:eastAsiaTheme="minorEastAsia" w:hAnsiTheme="minorHAnsi" w:cstheme="minorBidi"/>
          <w:noProof/>
          <w:lang w:eastAsia="fr-FR"/>
        </w:rPr>
      </w:pPr>
      <w:hyperlink w:anchor="_Toc190693428" w:history="1">
        <w:r w:rsidR="009D3B33" w:rsidRPr="00AE4A03">
          <w:rPr>
            <w:rStyle w:val="Lienhypertexte"/>
            <w:rFonts w:ascii="AvenirNext LT Pro Cn" w:hAnsi="AvenirNext LT Pro Cn"/>
            <w:noProof/>
          </w:rPr>
          <w:t>3.4.</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Définition de l’indisponibilité</w:t>
        </w:r>
        <w:r w:rsidR="009D3B33">
          <w:rPr>
            <w:noProof/>
            <w:webHidden/>
          </w:rPr>
          <w:tab/>
        </w:r>
        <w:r w:rsidR="009D3B33">
          <w:rPr>
            <w:noProof/>
            <w:webHidden/>
          </w:rPr>
          <w:fldChar w:fldCharType="begin"/>
        </w:r>
        <w:r w:rsidR="009D3B33">
          <w:rPr>
            <w:noProof/>
            <w:webHidden/>
          </w:rPr>
          <w:instrText xml:space="preserve"> PAGEREF _Toc190693428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13C02BF4" w14:textId="02620AE6"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29" w:history="1">
        <w:r w:rsidR="009D3B33" w:rsidRPr="00AE4A03">
          <w:rPr>
            <w:rStyle w:val="Lienhypertexte"/>
            <w:rFonts w:eastAsiaTheme="majorEastAsia" w:cstheme="majorBidi"/>
            <w:b/>
            <w:noProof/>
          </w:rPr>
          <w:t>3.4.1.</w:t>
        </w:r>
        <w:r w:rsidR="009D3B33">
          <w:rPr>
            <w:rFonts w:asciiTheme="minorHAnsi" w:eastAsiaTheme="minorEastAsia" w:hAnsiTheme="minorHAnsi"/>
            <w:noProof/>
            <w:lang w:eastAsia="fr-FR"/>
          </w:rPr>
          <w:tab/>
        </w:r>
        <w:r w:rsidR="009D3B33" w:rsidRPr="00AE4A03">
          <w:rPr>
            <w:rStyle w:val="Lienhypertexte"/>
            <w:rFonts w:eastAsiaTheme="majorEastAsia" w:cstheme="majorBidi"/>
            <w:noProof/>
          </w:rPr>
          <w:t>Mesure de la durée d’arrêt</w:t>
        </w:r>
        <w:r w:rsidR="009D3B33">
          <w:rPr>
            <w:noProof/>
            <w:webHidden/>
          </w:rPr>
          <w:tab/>
        </w:r>
        <w:r w:rsidR="009D3B33">
          <w:rPr>
            <w:noProof/>
            <w:webHidden/>
          </w:rPr>
          <w:fldChar w:fldCharType="begin"/>
        </w:r>
        <w:r w:rsidR="009D3B33">
          <w:rPr>
            <w:noProof/>
            <w:webHidden/>
          </w:rPr>
          <w:instrText xml:space="preserve"> PAGEREF _Toc190693429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4E62EB5C" w14:textId="204B3CDD" w:rsidR="009D3B33" w:rsidRDefault="006D7D4C">
      <w:pPr>
        <w:pStyle w:val="TM2"/>
        <w:tabs>
          <w:tab w:val="left" w:pos="660"/>
        </w:tabs>
        <w:rPr>
          <w:rFonts w:asciiTheme="minorHAnsi" w:eastAsiaTheme="minorEastAsia" w:hAnsiTheme="minorHAnsi" w:cstheme="minorBidi"/>
          <w:noProof/>
          <w:lang w:eastAsia="fr-FR"/>
        </w:rPr>
      </w:pPr>
      <w:hyperlink w:anchor="_Toc190693430" w:history="1">
        <w:r w:rsidR="009D3B33" w:rsidRPr="00AE4A03">
          <w:rPr>
            <w:rStyle w:val="Lienhypertexte"/>
            <w:rFonts w:ascii="AvenirNext LT Pro Cn" w:hAnsi="AvenirNext LT Pro Cn"/>
            <w:noProof/>
          </w:rPr>
          <w:t>3.5.</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Taux de disponibilité</w:t>
        </w:r>
        <w:r w:rsidR="009D3B33">
          <w:rPr>
            <w:noProof/>
            <w:webHidden/>
          </w:rPr>
          <w:tab/>
        </w:r>
        <w:r w:rsidR="009D3B33">
          <w:rPr>
            <w:noProof/>
            <w:webHidden/>
          </w:rPr>
          <w:fldChar w:fldCharType="begin"/>
        </w:r>
        <w:r w:rsidR="009D3B33">
          <w:rPr>
            <w:noProof/>
            <w:webHidden/>
          </w:rPr>
          <w:instrText xml:space="preserve"> PAGEREF _Toc190693430 \h </w:instrText>
        </w:r>
        <w:r w:rsidR="009D3B33">
          <w:rPr>
            <w:noProof/>
            <w:webHidden/>
          </w:rPr>
        </w:r>
        <w:r w:rsidR="009D3B33">
          <w:rPr>
            <w:noProof/>
            <w:webHidden/>
          </w:rPr>
          <w:fldChar w:fldCharType="separate"/>
        </w:r>
        <w:r w:rsidR="009D3B33">
          <w:rPr>
            <w:noProof/>
            <w:webHidden/>
          </w:rPr>
          <w:t>8</w:t>
        </w:r>
        <w:r w:rsidR="009D3B33">
          <w:rPr>
            <w:noProof/>
            <w:webHidden/>
          </w:rPr>
          <w:fldChar w:fldCharType="end"/>
        </w:r>
      </w:hyperlink>
    </w:p>
    <w:p w14:paraId="43EBF958" w14:textId="1F996166"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31" w:history="1">
        <w:r w:rsidR="009D3B33" w:rsidRPr="00AE4A03">
          <w:rPr>
            <w:rStyle w:val="Lienhypertexte"/>
            <w:rFonts w:eastAsiaTheme="majorEastAsia" w:cstheme="majorBidi"/>
            <w:b/>
            <w:noProof/>
          </w:rPr>
          <w:t>3.5.1.</w:t>
        </w:r>
        <w:r w:rsidR="009D3B33">
          <w:rPr>
            <w:rFonts w:asciiTheme="minorHAnsi" w:eastAsiaTheme="minorEastAsia" w:hAnsiTheme="minorHAnsi"/>
            <w:noProof/>
            <w:lang w:eastAsia="fr-FR"/>
          </w:rPr>
          <w:tab/>
        </w:r>
        <w:r w:rsidR="009D3B33" w:rsidRPr="00AE4A03">
          <w:rPr>
            <w:rStyle w:val="Lienhypertexte"/>
            <w:rFonts w:eastAsiaTheme="majorEastAsia" w:cstheme="majorBidi"/>
            <w:noProof/>
          </w:rPr>
          <w:t>Délai maximal autorisé</w:t>
        </w:r>
        <w:r w:rsidR="009D3B33">
          <w:rPr>
            <w:noProof/>
            <w:webHidden/>
          </w:rPr>
          <w:tab/>
        </w:r>
        <w:r w:rsidR="009D3B33">
          <w:rPr>
            <w:noProof/>
            <w:webHidden/>
          </w:rPr>
          <w:fldChar w:fldCharType="begin"/>
        </w:r>
        <w:r w:rsidR="009D3B33">
          <w:rPr>
            <w:noProof/>
            <w:webHidden/>
          </w:rPr>
          <w:instrText xml:space="preserve"> PAGEREF _Toc190693431 \h </w:instrText>
        </w:r>
        <w:r w:rsidR="009D3B33">
          <w:rPr>
            <w:noProof/>
            <w:webHidden/>
          </w:rPr>
        </w:r>
        <w:r w:rsidR="009D3B33">
          <w:rPr>
            <w:noProof/>
            <w:webHidden/>
          </w:rPr>
          <w:fldChar w:fldCharType="separate"/>
        </w:r>
        <w:r w:rsidR="009D3B33">
          <w:rPr>
            <w:noProof/>
            <w:webHidden/>
          </w:rPr>
          <w:t>9</w:t>
        </w:r>
        <w:r w:rsidR="009D3B33">
          <w:rPr>
            <w:noProof/>
            <w:webHidden/>
          </w:rPr>
          <w:fldChar w:fldCharType="end"/>
        </w:r>
      </w:hyperlink>
    </w:p>
    <w:p w14:paraId="4EC98567" w14:textId="347B7476" w:rsidR="009D3B33" w:rsidRDefault="006D7D4C">
      <w:pPr>
        <w:pStyle w:val="TM2"/>
        <w:tabs>
          <w:tab w:val="left" w:pos="660"/>
        </w:tabs>
        <w:rPr>
          <w:rFonts w:asciiTheme="minorHAnsi" w:eastAsiaTheme="minorEastAsia" w:hAnsiTheme="minorHAnsi" w:cstheme="minorBidi"/>
          <w:noProof/>
          <w:lang w:eastAsia="fr-FR"/>
        </w:rPr>
      </w:pPr>
      <w:hyperlink w:anchor="_Toc190693432" w:history="1">
        <w:r w:rsidR="009D3B33" w:rsidRPr="00AE4A03">
          <w:rPr>
            <w:rStyle w:val="Lienhypertexte"/>
            <w:rFonts w:ascii="AvenirNext LT Pro Cn" w:hAnsi="AvenirNext LT Pro Cn"/>
            <w:noProof/>
          </w:rPr>
          <w:t>3.6.</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Emballage et transport</w:t>
        </w:r>
        <w:r w:rsidR="009D3B33">
          <w:rPr>
            <w:noProof/>
            <w:webHidden/>
          </w:rPr>
          <w:tab/>
        </w:r>
        <w:r w:rsidR="009D3B33">
          <w:rPr>
            <w:noProof/>
            <w:webHidden/>
          </w:rPr>
          <w:fldChar w:fldCharType="begin"/>
        </w:r>
        <w:r w:rsidR="009D3B33">
          <w:rPr>
            <w:noProof/>
            <w:webHidden/>
          </w:rPr>
          <w:instrText xml:space="preserve"> PAGEREF _Toc190693432 \h </w:instrText>
        </w:r>
        <w:r w:rsidR="009D3B33">
          <w:rPr>
            <w:noProof/>
            <w:webHidden/>
          </w:rPr>
        </w:r>
        <w:r w:rsidR="009D3B33">
          <w:rPr>
            <w:noProof/>
            <w:webHidden/>
          </w:rPr>
          <w:fldChar w:fldCharType="separate"/>
        </w:r>
        <w:r w:rsidR="009D3B33">
          <w:rPr>
            <w:noProof/>
            <w:webHidden/>
          </w:rPr>
          <w:t>9</w:t>
        </w:r>
        <w:r w:rsidR="009D3B33">
          <w:rPr>
            <w:noProof/>
            <w:webHidden/>
          </w:rPr>
          <w:fldChar w:fldCharType="end"/>
        </w:r>
      </w:hyperlink>
    </w:p>
    <w:p w14:paraId="240F917E" w14:textId="56DF4EAF" w:rsidR="009D3B33" w:rsidRDefault="006D7D4C">
      <w:pPr>
        <w:pStyle w:val="TM2"/>
        <w:tabs>
          <w:tab w:val="left" w:pos="660"/>
        </w:tabs>
        <w:rPr>
          <w:rFonts w:asciiTheme="minorHAnsi" w:eastAsiaTheme="minorEastAsia" w:hAnsiTheme="minorHAnsi" w:cstheme="minorBidi"/>
          <w:noProof/>
          <w:lang w:eastAsia="fr-FR"/>
        </w:rPr>
      </w:pPr>
      <w:hyperlink w:anchor="_Toc190693433" w:history="1">
        <w:r w:rsidR="009D3B33" w:rsidRPr="00AE4A03">
          <w:rPr>
            <w:rStyle w:val="Lienhypertexte"/>
            <w:rFonts w:ascii="AvenirNext LT Pro Cn" w:hAnsi="AvenirNext LT Pro Cn"/>
            <w:noProof/>
          </w:rPr>
          <w:t>3.7.</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Livraison</w:t>
        </w:r>
        <w:r w:rsidR="009D3B33">
          <w:rPr>
            <w:noProof/>
            <w:webHidden/>
          </w:rPr>
          <w:tab/>
        </w:r>
        <w:r w:rsidR="009D3B33">
          <w:rPr>
            <w:noProof/>
            <w:webHidden/>
          </w:rPr>
          <w:fldChar w:fldCharType="begin"/>
        </w:r>
        <w:r w:rsidR="009D3B33">
          <w:rPr>
            <w:noProof/>
            <w:webHidden/>
          </w:rPr>
          <w:instrText xml:space="preserve"> PAGEREF _Toc190693433 \h </w:instrText>
        </w:r>
        <w:r w:rsidR="009D3B33">
          <w:rPr>
            <w:noProof/>
            <w:webHidden/>
          </w:rPr>
        </w:r>
        <w:r w:rsidR="009D3B33">
          <w:rPr>
            <w:noProof/>
            <w:webHidden/>
          </w:rPr>
          <w:fldChar w:fldCharType="separate"/>
        </w:r>
        <w:r w:rsidR="009D3B33">
          <w:rPr>
            <w:noProof/>
            <w:webHidden/>
          </w:rPr>
          <w:t>9</w:t>
        </w:r>
        <w:r w:rsidR="009D3B33">
          <w:rPr>
            <w:noProof/>
            <w:webHidden/>
          </w:rPr>
          <w:fldChar w:fldCharType="end"/>
        </w:r>
      </w:hyperlink>
    </w:p>
    <w:p w14:paraId="044D56C9" w14:textId="52A9AF7A" w:rsidR="009D3B33" w:rsidRDefault="006D7D4C">
      <w:pPr>
        <w:pStyle w:val="TM2"/>
        <w:tabs>
          <w:tab w:val="left" w:pos="660"/>
        </w:tabs>
        <w:rPr>
          <w:rFonts w:asciiTheme="minorHAnsi" w:eastAsiaTheme="minorEastAsia" w:hAnsiTheme="minorHAnsi" w:cstheme="minorBidi"/>
          <w:noProof/>
          <w:lang w:eastAsia="fr-FR"/>
        </w:rPr>
      </w:pPr>
      <w:hyperlink w:anchor="_Toc190693434" w:history="1">
        <w:r w:rsidR="009D3B33" w:rsidRPr="00AE4A03">
          <w:rPr>
            <w:rStyle w:val="Lienhypertexte"/>
            <w:rFonts w:ascii="AvenirNext LT Pro Cn" w:hAnsi="AvenirNext LT Pro Cn"/>
            <w:noProof/>
          </w:rPr>
          <w:t>3.8.</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Documentation à fournir</w:t>
        </w:r>
        <w:r w:rsidR="009D3B33">
          <w:rPr>
            <w:noProof/>
            <w:webHidden/>
          </w:rPr>
          <w:tab/>
        </w:r>
        <w:r w:rsidR="009D3B33">
          <w:rPr>
            <w:noProof/>
            <w:webHidden/>
          </w:rPr>
          <w:fldChar w:fldCharType="begin"/>
        </w:r>
        <w:r w:rsidR="009D3B33">
          <w:rPr>
            <w:noProof/>
            <w:webHidden/>
          </w:rPr>
          <w:instrText xml:space="preserve"> PAGEREF _Toc190693434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2606FF7D" w14:textId="229F2752" w:rsidR="009D3B33" w:rsidRDefault="006D7D4C">
      <w:pPr>
        <w:pStyle w:val="TM2"/>
        <w:tabs>
          <w:tab w:val="left" w:pos="660"/>
        </w:tabs>
        <w:rPr>
          <w:rFonts w:asciiTheme="minorHAnsi" w:eastAsiaTheme="minorEastAsia" w:hAnsiTheme="minorHAnsi" w:cstheme="minorBidi"/>
          <w:noProof/>
          <w:lang w:eastAsia="fr-FR"/>
        </w:rPr>
      </w:pPr>
      <w:hyperlink w:anchor="_Toc190693435" w:history="1">
        <w:r w:rsidR="009D3B33" w:rsidRPr="00AE4A03">
          <w:rPr>
            <w:rStyle w:val="Lienhypertexte"/>
            <w:rFonts w:ascii="AvenirNext LT Pro Cn" w:hAnsi="AvenirNext LT Pro Cn"/>
            <w:noProof/>
          </w:rPr>
          <w:t>3.9.</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Licence logiciel</w:t>
        </w:r>
        <w:r w:rsidR="009D3B33">
          <w:rPr>
            <w:noProof/>
            <w:webHidden/>
          </w:rPr>
          <w:tab/>
        </w:r>
        <w:r w:rsidR="009D3B33">
          <w:rPr>
            <w:noProof/>
            <w:webHidden/>
          </w:rPr>
          <w:fldChar w:fldCharType="begin"/>
        </w:r>
        <w:r w:rsidR="009D3B33">
          <w:rPr>
            <w:noProof/>
            <w:webHidden/>
          </w:rPr>
          <w:instrText xml:space="preserve"> PAGEREF _Toc190693435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7584272A" w14:textId="075A6FE9" w:rsidR="009D3B33" w:rsidRDefault="006D7D4C">
      <w:pPr>
        <w:pStyle w:val="TM2"/>
        <w:tabs>
          <w:tab w:val="left" w:pos="660"/>
        </w:tabs>
        <w:rPr>
          <w:rFonts w:asciiTheme="minorHAnsi" w:eastAsiaTheme="minorEastAsia" w:hAnsiTheme="minorHAnsi" w:cstheme="minorBidi"/>
          <w:noProof/>
          <w:lang w:eastAsia="fr-FR"/>
        </w:rPr>
      </w:pPr>
      <w:hyperlink w:anchor="_Toc190693436" w:history="1">
        <w:r w:rsidR="009D3B33" w:rsidRPr="00AE4A03">
          <w:rPr>
            <w:rStyle w:val="Lienhypertexte"/>
            <w:rFonts w:ascii="AvenirNext LT Pro Cn" w:hAnsi="AvenirNext LT Pro Cn"/>
            <w:noProof/>
          </w:rPr>
          <w:t>3.10.</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Formation à l’utilisation et à la maintenance de l’équipement</w:t>
        </w:r>
        <w:r w:rsidR="009D3B33">
          <w:rPr>
            <w:noProof/>
            <w:webHidden/>
          </w:rPr>
          <w:tab/>
        </w:r>
        <w:r w:rsidR="009D3B33">
          <w:rPr>
            <w:noProof/>
            <w:webHidden/>
          </w:rPr>
          <w:fldChar w:fldCharType="begin"/>
        </w:r>
        <w:r w:rsidR="009D3B33">
          <w:rPr>
            <w:noProof/>
            <w:webHidden/>
          </w:rPr>
          <w:instrText xml:space="preserve"> PAGEREF _Toc190693436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69DF5E68" w14:textId="09631B69" w:rsidR="009D3B33" w:rsidRDefault="006D7D4C">
      <w:pPr>
        <w:pStyle w:val="TM2"/>
        <w:tabs>
          <w:tab w:val="left" w:pos="660"/>
        </w:tabs>
        <w:rPr>
          <w:rFonts w:asciiTheme="minorHAnsi" w:eastAsiaTheme="minorEastAsia" w:hAnsiTheme="minorHAnsi" w:cstheme="minorBidi"/>
          <w:noProof/>
          <w:lang w:eastAsia="fr-FR"/>
        </w:rPr>
      </w:pPr>
      <w:hyperlink w:anchor="_Toc190693437" w:history="1">
        <w:r w:rsidR="009D3B33" w:rsidRPr="00AE4A03">
          <w:rPr>
            <w:rStyle w:val="Lienhypertexte"/>
            <w:rFonts w:ascii="AvenirNext LT Pro Cn" w:hAnsi="AvenirNext LT Pro Cn"/>
            <w:noProof/>
          </w:rPr>
          <w:t>3.11.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Brevets et licences</w:t>
        </w:r>
        <w:r w:rsidR="009D3B33">
          <w:rPr>
            <w:noProof/>
            <w:webHidden/>
          </w:rPr>
          <w:tab/>
        </w:r>
        <w:r w:rsidR="009D3B33">
          <w:rPr>
            <w:noProof/>
            <w:webHidden/>
          </w:rPr>
          <w:fldChar w:fldCharType="begin"/>
        </w:r>
        <w:r w:rsidR="009D3B33">
          <w:rPr>
            <w:noProof/>
            <w:webHidden/>
          </w:rPr>
          <w:instrText xml:space="preserve"> PAGEREF _Toc190693437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3935A834" w14:textId="42CA1E39" w:rsidR="009D3B33" w:rsidRDefault="006D7D4C">
      <w:pPr>
        <w:pStyle w:val="TM2"/>
        <w:tabs>
          <w:tab w:val="left" w:pos="660"/>
        </w:tabs>
        <w:rPr>
          <w:rFonts w:asciiTheme="minorHAnsi" w:eastAsiaTheme="minorEastAsia" w:hAnsiTheme="minorHAnsi" w:cstheme="minorBidi"/>
          <w:noProof/>
          <w:lang w:eastAsia="fr-FR"/>
        </w:rPr>
      </w:pPr>
      <w:hyperlink w:anchor="_Toc190693438" w:history="1">
        <w:r w:rsidR="009D3B33" w:rsidRPr="00AE4A03">
          <w:rPr>
            <w:rStyle w:val="Lienhypertexte"/>
            <w:rFonts w:ascii="AvenirNext LT Pro Cn" w:hAnsi="AvenirNext LT Pro Cn"/>
            <w:noProof/>
          </w:rPr>
          <w:t>3.12.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Dispositions en cas de quench (spectromètres)</w:t>
        </w:r>
        <w:r w:rsidR="009D3B33">
          <w:rPr>
            <w:noProof/>
            <w:webHidden/>
          </w:rPr>
          <w:tab/>
        </w:r>
        <w:r w:rsidR="009D3B33">
          <w:rPr>
            <w:noProof/>
            <w:webHidden/>
          </w:rPr>
          <w:fldChar w:fldCharType="begin"/>
        </w:r>
        <w:r w:rsidR="009D3B33">
          <w:rPr>
            <w:noProof/>
            <w:webHidden/>
          </w:rPr>
          <w:instrText xml:space="preserve"> PAGEREF _Toc190693438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5A82A65C" w14:textId="275B6692" w:rsidR="009D3B33" w:rsidRDefault="006D7D4C">
      <w:pPr>
        <w:pStyle w:val="TM2"/>
        <w:tabs>
          <w:tab w:val="left" w:pos="660"/>
        </w:tabs>
        <w:rPr>
          <w:rFonts w:asciiTheme="minorHAnsi" w:eastAsiaTheme="minorEastAsia" w:hAnsiTheme="minorHAnsi" w:cstheme="minorBidi"/>
          <w:noProof/>
          <w:lang w:eastAsia="fr-FR"/>
        </w:rPr>
      </w:pPr>
      <w:hyperlink w:anchor="_Toc190693439" w:history="1">
        <w:r w:rsidR="009D3B33" w:rsidRPr="00AE4A03">
          <w:rPr>
            <w:rStyle w:val="Lienhypertexte"/>
            <w:rFonts w:ascii="AvenirNext LT Pro Cn" w:hAnsi="AvenirNext LT Pro Cn"/>
            <w:noProof/>
          </w:rPr>
          <w:t>3.13.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Sous-traitance</w:t>
        </w:r>
        <w:r w:rsidR="009D3B33">
          <w:rPr>
            <w:noProof/>
            <w:webHidden/>
          </w:rPr>
          <w:tab/>
        </w:r>
        <w:r w:rsidR="009D3B33">
          <w:rPr>
            <w:noProof/>
            <w:webHidden/>
          </w:rPr>
          <w:fldChar w:fldCharType="begin"/>
        </w:r>
        <w:r w:rsidR="009D3B33">
          <w:rPr>
            <w:noProof/>
            <w:webHidden/>
          </w:rPr>
          <w:instrText xml:space="preserve"> PAGEREF _Toc190693439 \h </w:instrText>
        </w:r>
        <w:r w:rsidR="009D3B33">
          <w:rPr>
            <w:noProof/>
            <w:webHidden/>
          </w:rPr>
        </w:r>
        <w:r w:rsidR="009D3B33">
          <w:rPr>
            <w:noProof/>
            <w:webHidden/>
          </w:rPr>
          <w:fldChar w:fldCharType="separate"/>
        </w:r>
        <w:r w:rsidR="009D3B33">
          <w:rPr>
            <w:noProof/>
            <w:webHidden/>
          </w:rPr>
          <w:t>10</w:t>
        </w:r>
        <w:r w:rsidR="009D3B33">
          <w:rPr>
            <w:noProof/>
            <w:webHidden/>
          </w:rPr>
          <w:fldChar w:fldCharType="end"/>
        </w:r>
      </w:hyperlink>
    </w:p>
    <w:p w14:paraId="6134FE99" w14:textId="4687F07B"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40" w:history="1">
        <w:r w:rsidR="009D3B33" w:rsidRPr="00AE4A03">
          <w:rPr>
            <w:rStyle w:val="Lienhypertexte"/>
            <w:b/>
            <w:i/>
            <w:iCs/>
            <w:noProof/>
          </w:rPr>
          <w:t>4.</w:t>
        </w:r>
        <w:r w:rsidR="009D3B33">
          <w:rPr>
            <w:rFonts w:asciiTheme="minorHAnsi" w:eastAsiaTheme="minorEastAsia" w:hAnsiTheme="minorHAnsi"/>
            <w:noProof/>
            <w:lang w:eastAsia="fr-FR"/>
          </w:rPr>
          <w:tab/>
        </w:r>
        <w:r w:rsidR="009D3B33" w:rsidRPr="00AE4A03">
          <w:rPr>
            <w:rStyle w:val="Lienhypertexte"/>
            <w:noProof/>
          </w:rPr>
          <w:t>DURÉE ET DELAIS D’EXECUTION DU MARCHÉ</w:t>
        </w:r>
        <w:r w:rsidR="009D3B33">
          <w:rPr>
            <w:noProof/>
            <w:webHidden/>
          </w:rPr>
          <w:tab/>
        </w:r>
        <w:r w:rsidR="009D3B33">
          <w:rPr>
            <w:noProof/>
            <w:webHidden/>
          </w:rPr>
          <w:fldChar w:fldCharType="begin"/>
        </w:r>
        <w:r w:rsidR="009D3B33">
          <w:rPr>
            <w:noProof/>
            <w:webHidden/>
          </w:rPr>
          <w:instrText xml:space="preserve"> PAGEREF _Toc190693440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491811FE" w14:textId="55108DF8" w:rsidR="009D3B33" w:rsidRDefault="006D7D4C">
      <w:pPr>
        <w:pStyle w:val="TM2"/>
        <w:tabs>
          <w:tab w:val="left" w:pos="660"/>
        </w:tabs>
        <w:rPr>
          <w:rFonts w:asciiTheme="minorHAnsi" w:eastAsiaTheme="minorEastAsia" w:hAnsiTheme="minorHAnsi" w:cstheme="minorBidi"/>
          <w:noProof/>
          <w:lang w:eastAsia="fr-FR"/>
        </w:rPr>
      </w:pPr>
      <w:hyperlink w:anchor="_Toc190693441" w:history="1">
        <w:r w:rsidR="009D3B33" w:rsidRPr="00AE4A03">
          <w:rPr>
            <w:rStyle w:val="Lienhypertexte"/>
            <w:rFonts w:ascii="AvenirNext LT Pro Cn" w:hAnsi="AvenirNext LT Pro Cn"/>
            <w:noProof/>
          </w:rPr>
          <w:t>4.1.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Durée du marché</w:t>
        </w:r>
        <w:r w:rsidR="009D3B33">
          <w:rPr>
            <w:noProof/>
            <w:webHidden/>
          </w:rPr>
          <w:tab/>
        </w:r>
        <w:r w:rsidR="009D3B33">
          <w:rPr>
            <w:noProof/>
            <w:webHidden/>
          </w:rPr>
          <w:fldChar w:fldCharType="begin"/>
        </w:r>
        <w:r w:rsidR="009D3B33">
          <w:rPr>
            <w:noProof/>
            <w:webHidden/>
          </w:rPr>
          <w:instrText xml:space="preserve"> PAGEREF _Toc190693441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3B771205" w14:textId="571DCD15" w:rsidR="009D3B33" w:rsidRDefault="006D7D4C">
      <w:pPr>
        <w:pStyle w:val="TM2"/>
        <w:tabs>
          <w:tab w:val="left" w:pos="660"/>
        </w:tabs>
        <w:rPr>
          <w:rFonts w:asciiTheme="minorHAnsi" w:eastAsiaTheme="minorEastAsia" w:hAnsiTheme="minorHAnsi" w:cstheme="minorBidi"/>
          <w:noProof/>
          <w:lang w:eastAsia="fr-FR"/>
        </w:rPr>
      </w:pPr>
      <w:hyperlink w:anchor="_Toc190693442" w:history="1">
        <w:r w:rsidR="009D3B33" w:rsidRPr="00AE4A03">
          <w:rPr>
            <w:rStyle w:val="Lienhypertexte"/>
            <w:rFonts w:ascii="AvenirNext LT Pro Cn" w:hAnsi="AvenirNext LT Pro Cn"/>
            <w:noProof/>
          </w:rPr>
          <w:t>4.2.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Délai de livraison</w:t>
        </w:r>
        <w:r w:rsidR="009D3B33">
          <w:rPr>
            <w:noProof/>
            <w:webHidden/>
          </w:rPr>
          <w:tab/>
        </w:r>
        <w:r w:rsidR="009D3B33">
          <w:rPr>
            <w:noProof/>
            <w:webHidden/>
          </w:rPr>
          <w:fldChar w:fldCharType="begin"/>
        </w:r>
        <w:r w:rsidR="009D3B33">
          <w:rPr>
            <w:noProof/>
            <w:webHidden/>
          </w:rPr>
          <w:instrText xml:space="preserve"> PAGEREF _Toc190693442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61FB0E00" w14:textId="79D25ED6" w:rsidR="009D3B33" w:rsidRDefault="006D7D4C">
      <w:pPr>
        <w:pStyle w:val="TM2"/>
        <w:tabs>
          <w:tab w:val="left" w:pos="660"/>
        </w:tabs>
        <w:rPr>
          <w:rFonts w:asciiTheme="minorHAnsi" w:eastAsiaTheme="minorEastAsia" w:hAnsiTheme="minorHAnsi" w:cstheme="minorBidi"/>
          <w:noProof/>
          <w:lang w:eastAsia="fr-FR"/>
        </w:rPr>
      </w:pPr>
      <w:hyperlink w:anchor="_Toc190693443" w:history="1">
        <w:r w:rsidR="009D3B33" w:rsidRPr="00AE4A03">
          <w:rPr>
            <w:rStyle w:val="Lienhypertexte"/>
            <w:rFonts w:ascii="AvenirNext LT Pro Cn" w:hAnsi="AvenirNext LT Pro Cn"/>
            <w:noProof/>
          </w:rPr>
          <w:t>4.3.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Prolongation du délai</w:t>
        </w:r>
        <w:r w:rsidR="009D3B33">
          <w:rPr>
            <w:noProof/>
            <w:webHidden/>
          </w:rPr>
          <w:tab/>
        </w:r>
        <w:r w:rsidR="009D3B33">
          <w:rPr>
            <w:noProof/>
            <w:webHidden/>
          </w:rPr>
          <w:fldChar w:fldCharType="begin"/>
        </w:r>
        <w:r w:rsidR="009D3B33">
          <w:rPr>
            <w:noProof/>
            <w:webHidden/>
          </w:rPr>
          <w:instrText xml:space="preserve"> PAGEREF _Toc190693443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7754FB13" w14:textId="54562B2B"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44" w:history="1">
        <w:r w:rsidR="009D3B33" w:rsidRPr="00AE4A03">
          <w:rPr>
            <w:rStyle w:val="Lienhypertexte"/>
            <w:b/>
            <w:noProof/>
          </w:rPr>
          <w:t>5.</w:t>
        </w:r>
        <w:r w:rsidR="009D3B33">
          <w:rPr>
            <w:rFonts w:asciiTheme="minorHAnsi" w:eastAsiaTheme="minorEastAsia" w:hAnsiTheme="minorHAnsi"/>
            <w:noProof/>
            <w:lang w:eastAsia="fr-FR"/>
          </w:rPr>
          <w:tab/>
        </w:r>
        <w:r w:rsidR="009D3B33" w:rsidRPr="00AE4A03">
          <w:rPr>
            <w:rStyle w:val="Lienhypertexte"/>
            <w:noProof/>
          </w:rPr>
          <w:t>INSTALLATIONS, MISE EN ORDRE DE MARCHE, VÉRIFICATION ET ADMISSION DES FOURNITURES</w:t>
        </w:r>
        <w:r w:rsidR="009D3B33">
          <w:rPr>
            <w:noProof/>
            <w:webHidden/>
          </w:rPr>
          <w:tab/>
        </w:r>
        <w:r w:rsidR="009D3B33">
          <w:rPr>
            <w:noProof/>
            <w:webHidden/>
          </w:rPr>
          <w:fldChar w:fldCharType="begin"/>
        </w:r>
        <w:r w:rsidR="009D3B33">
          <w:rPr>
            <w:noProof/>
            <w:webHidden/>
          </w:rPr>
          <w:instrText xml:space="preserve"> PAGEREF _Toc190693444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12310962" w14:textId="18A86D1B" w:rsidR="009D3B33" w:rsidRDefault="006D7D4C">
      <w:pPr>
        <w:pStyle w:val="TM2"/>
        <w:tabs>
          <w:tab w:val="left" w:pos="660"/>
        </w:tabs>
        <w:rPr>
          <w:rFonts w:asciiTheme="minorHAnsi" w:eastAsiaTheme="minorEastAsia" w:hAnsiTheme="minorHAnsi" w:cstheme="minorBidi"/>
          <w:noProof/>
          <w:lang w:eastAsia="fr-FR"/>
        </w:rPr>
      </w:pPr>
      <w:hyperlink w:anchor="_Toc190693445" w:history="1">
        <w:r w:rsidR="009D3B33" w:rsidRPr="00AE4A03">
          <w:rPr>
            <w:rStyle w:val="Lienhypertexte"/>
            <w:rFonts w:ascii="AvenirNext LT Pro Cn" w:hAnsi="AvenirNext LT Pro Cn"/>
            <w:noProof/>
          </w:rPr>
          <w:t>5.1.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Installation et mise en ordre de marche</w:t>
        </w:r>
        <w:r w:rsidR="009D3B33">
          <w:rPr>
            <w:noProof/>
            <w:webHidden/>
          </w:rPr>
          <w:tab/>
        </w:r>
        <w:r w:rsidR="009D3B33">
          <w:rPr>
            <w:noProof/>
            <w:webHidden/>
          </w:rPr>
          <w:fldChar w:fldCharType="begin"/>
        </w:r>
        <w:r w:rsidR="009D3B33">
          <w:rPr>
            <w:noProof/>
            <w:webHidden/>
          </w:rPr>
          <w:instrText xml:space="preserve"> PAGEREF _Toc190693445 \h </w:instrText>
        </w:r>
        <w:r w:rsidR="009D3B33">
          <w:rPr>
            <w:noProof/>
            <w:webHidden/>
          </w:rPr>
        </w:r>
        <w:r w:rsidR="009D3B33">
          <w:rPr>
            <w:noProof/>
            <w:webHidden/>
          </w:rPr>
          <w:fldChar w:fldCharType="separate"/>
        </w:r>
        <w:r w:rsidR="009D3B33">
          <w:rPr>
            <w:noProof/>
            <w:webHidden/>
          </w:rPr>
          <w:t>11</w:t>
        </w:r>
        <w:r w:rsidR="009D3B33">
          <w:rPr>
            <w:noProof/>
            <w:webHidden/>
          </w:rPr>
          <w:fldChar w:fldCharType="end"/>
        </w:r>
      </w:hyperlink>
    </w:p>
    <w:p w14:paraId="7E41A347" w14:textId="050848EB" w:rsidR="009D3B33" w:rsidRDefault="006D7D4C">
      <w:pPr>
        <w:pStyle w:val="TM2"/>
        <w:tabs>
          <w:tab w:val="left" w:pos="660"/>
        </w:tabs>
        <w:rPr>
          <w:rFonts w:asciiTheme="minorHAnsi" w:eastAsiaTheme="minorEastAsia" w:hAnsiTheme="minorHAnsi" w:cstheme="minorBidi"/>
          <w:noProof/>
          <w:lang w:eastAsia="fr-FR"/>
        </w:rPr>
      </w:pPr>
      <w:hyperlink w:anchor="_Toc190693446" w:history="1">
        <w:r w:rsidR="009D3B33" w:rsidRPr="00AE4A03">
          <w:rPr>
            <w:rStyle w:val="Lienhypertexte"/>
            <w:rFonts w:ascii="AvenirNext LT Pro Cn" w:hAnsi="AvenirNext LT Pro Cn"/>
            <w:noProof/>
          </w:rPr>
          <w:t>5.2.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Opérations de vérification – Admission des prestations</w:t>
        </w:r>
        <w:r w:rsidR="009D3B33">
          <w:rPr>
            <w:noProof/>
            <w:webHidden/>
          </w:rPr>
          <w:tab/>
        </w:r>
        <w:r w:rsidR="009D3B33">
          <w:rPr>
            <w:noProof/>
            <w:webHidden/>
          </w:rPr>
          <w:fldChar w:fldCharType="begin"/>
        </w:r>
        <w:r w:rsidR="009D3B33">
          <w:rPr>
            <w:noProof/>
            <w:webHidden/>
          </w:rPr>
          <w:instrText xml:space="preserve"> PAGEREF _Toc190693446 \h </w:instrText>
        </w:r>
        <w:r w:rsidR="009D3B33">
          <w:rPr>
            <w:noProof/>
            <w:webHidden/>
          </w:rPr>
        </w:r>
        <w:r w:rsidR="009D3B33">
          <w:rPr>
            <w:noProof/>
            <w:webHidden/>
          </w:rPr>
          <w:fldChar w:fldCharType="separate"/>
        </w:r>
        <w:r w:rsidR="009D3B33">
          <w:rPr>
            <w:noProof/>
            <w:webHidden/>
          </w:rPr>
          <w:t>12</w:t>
        </w:r>
        <w:r w:rsidR="009D3B33">
          <w:rPr>
            <w:noProof/>
            <w:webHidden/>
          </w:rPr>
          <w:fldChar w:fldCharType="end"/>
        </w:r>
      </w:hyperlink>
    </w:p>
    <w:p w14:paraId="3721E137" w14:textId="5D17C34B"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47" w:history="1">
        <w:r w:rsidR="009D3B33" w:rsidRPr="00AE4A03">
          <w:rPr>
            <w:rStyle w:val="Lienhypertexte"/>
            <w:b/>
            <w:noProof/>
          </w:rPr>
          <w:t>6.</w:t>
        </w:r>
        <w:r w:rsidR="009D3B33">
          <w:rPr>
            <w:rFonts w:asciiTheme="minorHAnsi" w:eastAsiaTheme="minorEastAsia" w:hAnsiTheme="minorHAnsi"/>
            <w:noProof/>
            <w:lang w:eastAsia="fr-FR"/>
          </w:rPr>
          <w:tab/>
        </w:r>
        <w:r w:rsidR="009D3B33" w:rsidRPr="00AE4A03">
          <w:rPr>
            <w:rStyle w:val="Lienhypertexte"/>
            <w:noProof/>
          </w:rPr>
          <w:t>ZONES A REGIME RESTRICTIF (ZRR) ET SECURITE DE L’INFORMATION</w:t>
        </w:r>
        <w:r w:rsidR="009D3B33">
          <w:rPr>
            <w:noProof/>
            <w:webHidden/>
          </w:rPr>
          <w:tab/>
        </w:r>
        <w:r w:rsidR="009D3B33">
          <w:rPr>
            <w:noProof/>
            <w:webHidden/>
          </w:rPr>
          <w:fldChar w:fldCharType="begin"/>
        </w:r>
        <w:r w:rsidR="009D3B33">
          <w:rPr>
            <w:noProof/>
            <w:webHidden/>
          </w:rPr>
          <w:instrText xml:space="preserve"> PAGEREF _Toc190693447 \h </w:instrText>
        </w:r>
        <w:r w:rsidR="009D3B33">
          <w:rPr>
            <w:noProof/>
            <w:webHidden/>
          </w:rPr>
        </w:r>
        <w:r w:rsidR="009D3B33">
          <w:rPr>
            <w:noProof/>
            <w:webHidden/>
          </w:rPr>
          <w:fldChar w:fldCharType="separate"/>
        </w:r>
        <w:r w:rsidR="009D3B33">
          <w:rPr>
            <w:noProof/>
            <w:webHidden/>
          </w:rPr>
          <w:t>12</w:t>
        </w:r>
        <w:r w:rsidR="009D3B33">
          <w:rPr>
            <w:noProof/>
            <w:webHidden/>
          </w:rPr>
          <w:fldChar w:fldCharType="end"/>
        </w:r>
      </w:hyperlink>
    </w:p>
    <w:p w14:paraId="29C9CFBA" w14:textId="290271C5"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48" w:history="1">
        <w:r w:rsidR="009D3B33" w:rsidRPr="00AE4A03">
          <w:rPr>
            <w:rStyle w:val="Lienhypertexte"/>
            <w:b/>
            <w:noProof/>
          </w:rPr>
          <w:t>7.</w:t>
        </w:r>
        <w:r w:rsidR="009D3B33">
          <w:rPr>
            <w:rFonts w:asciiTheme="minorHAnsi" w:eastAsiaTheme="minorEastAsia" w:hAnsiTheme="minorHAnsi"/>
            <w:noProof/>
            <w:lang w:eastAsia="fr-FR"/>
          </w:rPr>
          <w:tab/>
        </w:r>
        <w:r w:rsidR="009D3B33" w:rsidRPr="00AE4A03">
          <w:rPr>
            <w:rStyle w:val="Lienhypertexte"/>
            <w:noProof/>
          </w:rPr>
          <w:t>PRIX ET MODALITÉS DE PAIEMENTS</w:t>
        </w:r>
        <w:r w:rsidR="009D3B33">
          <w:rPr>
            <w:noProof/>
            <w:webHidden/>
          </w:rPr>
          <w:tab/>
        </w:r>
        <w:r w:rsidR="009D3B33">
          <w:rPr>
            <w:noProof/>
            <w:webHidden/>
          </w:rPr>
          <w:fldChar w:fldCharType="begin"/>
        </w:r>
        <w:r w:rsidR="009D3B33">
          <w:rPr>
            <w:noProof/>
            <w:webHidden/>
          </w:rPr>
          <w:instrText xml:space="preserve"> PAGEREF _Toc190693448 \h </w:instrText>
        </w:r>
        <w:r w:rsidR="009D3B33">
          <w:rPr>
            <w:noProof/>
            <w:webHidden/>
          </w:rPr>
        </w:r>
        <w:r w:rsidR="009D3B33">
          <w:rPr>
            <w:noProof/>
            <w:webHidden/>
          </w:rPr>
          <w:fldChar w:fldCharType="separate"/>
        </w:r>
        <w:r w:rsidR="009D3B33">
          <w:rPr>
            <w:noProof/>
            <w:webHidden/>
          </w:rPr>
          <w:t>13</w:t>
        </w:r>
        <w:r w:rsidR="009D3B33">
          <w:rPr>
            <w:noProof/>
            <w:webHidden/>
          </w:rPr>
          <w:fldChar w:fldCharType="end"/>
        </w:r>
      </w:hyperlink>
    </w:p>
    <w:p w14:paraId="3E32D6C1" w14:textId="67B03DAA" w:rsidR="009D3B33" w:rsidRDefault="006D7D4C">
      <w:pPr>
        <w:pStyle w:val="TM2"/>
        <w:tabs>
          <w:tab w:val="left" w:pos="660"/>
        </w:tabs>
        <w:rPr>
          <w:rFonts w:asciiTheme="minorHAnsi" w:eastAsiaTheme="minorEastAsia" w:hAnsiTheme="minorHAnsi" w:cstheme="minorBidi"/>
          <w:noProof/>
          <w:lang w:eastAsia="fr-FR"/>
        </w:rPr>
      </w:pPr>
      <w:hyperlink w:anchor="_Toc190693449" w:history="1">
        <w:r w:rsidR="009D3B33" w:rsidRPr="00AE4A03">
          <w:rPr>
            <w:rStyle w:val="Lienhypertexte"/>
            <w:rFonts w:ascii="AvenirNext LT Pro Cn" w:hAnsi="AvenirNext LT Pro Cn"/>
            <w:noProof/>
          </w:rPr>
          <w:t>7.1.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Prix du marché</w:t>
        </w:r>
        <w:r w:rsidR="009D3B33">
          <w:rPr>
            <w:noProof/>
            <w:webHidden/>
          </w:rPr>
          <w:tab/>
        </w:r>
        <w:r w:rsidR="009D3B33">
          <w:rPr>
            <w:noProof/>
            <w:webHidden/>
          </w:rPr>
          <w:fldChar w:fldCharType="begin"/>
        </w:r>
        <w:r w:rsidR="009D3B33">
          <w:rPr>
            <w:noProof/>
            <w:webHidden/>
          </w:rPr>
          <w:instrText xml:space="preserve"> PAGEREF _Toc190693449 \h </w:instrText>
        </w:r>
        <w:r w:rsidR="009D3B33">
          <w:rPr>
            <w:noProof/>
            <w:webHidden/>
          </w:rPr>
        </w:r>
        <w:r w:rsidR="009D3B33">
          <w:rPr>
            <w:noProof/>
            <w:webHidden/>
          </w:rPr>
          <w:fldChar w:fldCharType="separate"/>
        </w:r>
        <w:r w:rsidR="009D3B33">
          <w:rPr>
            <w:noProof/>
            <w:webHidden/>
          </w:rPr>
          <w:t>13</w:t>
        </w:r>
        <w:r w:rsidR="009D3B33">
          <w:rPr>
            <w:noProof/>
            <w:webHidden/>
          </w:rPr>
          <w:fldChar w:fldCharType="end"/>
        </w:r>
      </w:hyperlink>
    </w:p>
    <w:p w14:paraId="3F658F31" w14:textId="6B82B4C0" w:rsidR="009D3B33" w:rsidRDefault="006D7D4C">
      <w:pPr>
        <w:pStyle w:val="TM2"/>
        <w:tabs>
          <w:tab w:val="left" w:pos="660"/>
        </w:tabs>
        <w:rPr>
          <w:rFonts w:asciiTheme="minorHAnsi" w:eastAsiaTheme="minorEastAsia" w:hAnsiTheme="minorHAnsi" w:cstheme="minorBidi"/>
          <w:noProof/>
          <w:lang w:eastAsia="fr-FR"/>
        </w:rPr>
      </w:pPr>
      <w:hyperlink w:anchor="_Toc190693450" w:history="1">
        <w:r w:rsidR="009D3B33" w:rsidRPr="00AE4A03">
          <w:rPr>
            <w:rStyle w:val="Lienhypertexte"/>
            <w:rFonts w:ascii="AvenirNext LT Pro Cn" w:hAnsi="AvenirNext LT Pro Cn"/>
            <w:noProof/>
          </w:rPr>
          <w:t>7.2.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Echéancier de paiement</w:t>
        </w:r>
        <w:r w:rsidR="009D3B33">
          <w:rPr>
            <w:noProof/>
            <w:webHidden/>
          </w:rPr>
          <w:tab/>
        </w:r>
        <w:r w:rsidR="009D3B33">
          <w:rPr>
            <w:noProof/>
            <w:webHidden/>
          </w:rPr>
          <w:fldChar w:fldCharType="begin"/>
        </w:r>
        <w:r w:rsidR="009D3B33">
          <w:rPr>
            <w:noProof/>
            <w:webHidden/>
          </w:rPr>
          <w:instrText xml:space="preserve"> PAGEREF _Toc190693450 \h </w:instrText>
        </w:r>
        <w:r w:rsidR="009D3B33">
          <w:rPr>
            <w:noProof/>
            <w:webHidden/>
          </w:rPr>
        </w:r>
        <w:r w:rsidR="009D3B33">
          <w:rPr>
            <w:noProof/>
            <w:webHidden/>
          </w:rPr>
          <w:fldChar w:fldCharType="separate"/>
        </w:r>
        <w:r w:rsidR="009D3B33">
          <w:rPr>
            <w:noProof/>
            <w:webHidden/>
          </w:rPr>
          <w:t>14</w:t>
        </w:r>
        <w:r w:rsidR="009D3B33">
          <w:rPr>
            <w:noProof/>
            <w:webHidden/>
          </w:rPr>
          <w:fldChar w:fldCharType="end"/>
        </w:r>
      </w:hyperlink>
    </w:p>
    <w:p w14:paraId="363325EA" w14:textId="609BA9B6" w:rsidR="009D3B33" w:rsidRDefault="006D7D4C">
      <w:pPr>
        <w:pStyle w:val="TM2"/>
        <w:tabs>
          <w:tab w:val="left" w:pos="660"/>
        </w:tabs>
        <w:rPr>
          <w:rFonts w:asciiTheme="minorHAnsi" w:eastAsiaTheme="minorEastAsia" w:hAnsiTheme="minorHAnsi" w:cstheme="minorBidi"/>
          <w:noProof/>
          <w:lang w:eastAsia="fr-FR"/>
        </w:rPr>
      </w:pPr>
      <w:hyperlink w:anchor="_Toc190693451" w:history="1">
        <w:r w:rsidR="009D3B33" w:rsidRPr="00AE4A03">
          <w:rPr>
            <w:rStyle w:val="Lienhypertexte"/>
            <w:rFonts w:ascii="AvenirNext LT Pro Cn" w:hAnsi="AvenirNext LT Pro Cn"/>
            <w:noProof/>
          </w:rPr>
          <w:t>7.3.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Modalités de paiement</w:t>
        </w:r>
        <w:r w:rsidR="009D3B33">
          <w:rPr>
            <w:noProof/>
            <w:webHidden/>
          </w:rPr>
          <w:tab/>
        </w:r>
        <w:r w:rsidR="009D3B33">
          <w:rPr>
            <w:noProof/>
            <w:webHidden/>
          </w:rPr>
          <w:fldChar w:fldCharType="begin"/>
        </w:r>
        <w:r w:rsidR="009D3B33">
          <w:rPr>
            <w:noProof/>
            <w:webHidden/>
          </w:rPr>
          <w:instrText xml:space="preserve"> PAGEREF _Toc190693451 \h </w:instrText>
        </w:r>
        <w:r w:rsidR="009D3B33">
          <w:rPr>
            <w:noProof/>
            <w:webHidden/>
          </w:rPr>
        </w:r>
        <w:r w:rsidR="009D3B33">
          <w:rPr>
            <w:noProof/>
            <w:webHidden/>
          </w:rPr>
          <w:fldChar w:fldCharType="separate"/>
        </w:r>
        <w:r w:rsidR="009D3B33">
          <w:rPr>
            <w:noProof/>
            <w:webHidden/>
          </w:rPr>
          <w:t>14</w:t>
        </w:r>
        <w:r w:rsidR="009D3B33">
          <w:rPr>
            <w:noProof/>
            <w:webHidden/>
          </w:rPr>
          <w:fldChar w:fldCharType="end"/>
        </w:r>
      </w:hyperlink>
    </w:p>
    <w:p w14:paraId="6342570D" w14:textId="1ACCCB32"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52" w:history="1">
        <w:r w:rsidR="009D3B33" w:rsidRPr="00AE4A03">
          <w:rPr>
            <w:rStyle w:val="Lienhypertexte"/>
            <w:b/>
            <w:noProof/>
          </w:rPr>
          <w:t>8.</w:t>
        </w:r>
        <w:r w:rsidR="009D3B33">
          <w:rPr>
            <w:rFonts w:asciiTheme="minorHAnsi" w:eastAsiaTheme="minorEastAsia" w:hAnsiTheme="minorHAnsi"/>
            <w:noProof/>
            <w:lang w:eastAsia="fr-FR"/>
          </w:rPr>
          <w:tab/>
        </w:r>
        <w:r w:rsidR="009D3B33" w:rsidRPr="00AE4A03">
          <w:rPr>
            <w:rStyle w:val="Lienhypertexte"/>
            <w:noProof/>
          </w:rPr>
          <w:t>AVANCE</w:t>
        </w:r>
        <w:r w:rsidR="009D3B33">
          <w:rPr>
            <w:noProof/>
            <w:webHidden/>
          </w:rPr>
          <w:tab/>
        </w:r>
        <w:r w:rsidR="009D3B33">
          <w:rPr>
            <w:noProof/>
            <w:webHidden/>
          </w:rPr>
          <w:fldChar w:fldCharType="begin"/>
        </w:r>
        <w:r w:rsidR="009D3B33">
          <w:rPr>
            <w:noProof/>
            <w:webHidden/>
          </w:rPr>
          <w:instrText xml:space="preserve"> PAGEREF _Toc190693452 \h </w:instrText>
        </w:r>
        <w:r w:rsidR="009D3B33">
          <w:rPr>
            <w:noProof/>
            <w:webHidden/>
          </w:rPr>
        </w:r>
        <w:r w:rsidR="009D3B33">
          <w:rPr>
            <w:noProof/>
            <w:webHidden/>
          </w:rPr>
          <w:fldChar w:fldCharType="separate"/>
        </w:r>
        <w:r w:rsidR="009D3B33">
          <w:rPr>
            <w:noProof/>
            <w:webHidden/>
          </w:rPr>
          <w:t>15</w:t>
        </w:r>
        <w:r w:rsidR="009D3B33">
          <w:rPr>
            <w:noProof/>
            <w:webHidden/>
          </w:rPr>
          <w:fldChar w:fldCharType="end"/>
        </w:r>
      </w:hyperlink>
    </w:p>
    <w:p w14:paraId="03126DC9" w14:textId="70A8EA34" w:rsidR="009D3B33" w:rsidRDefault="006D7D4C">
      <w:pPr>
        <w:pStyle w:val="TM1"/>
        <w:tabs>
          <w:tab w:val="left" w:pos="480"/>
          <w:tab w:val="right" w:leader="dot" w:pos="9054"/>
        </w:tabs>
        <w:rPr>
          <w:rFonts w:asciiTheme="minorHAnsi" w:eastAsiaTheme="minorEastAsia" w:hAnsiTheme="minorHAnsi"/>
          <w:noProof/>
          <w:lang w:eastAsia="fr-FR"/>
        </w:rPr>
      </w:pPr>
      <w:hyperlink w:anchor="_Toc190693453" w:history="1">
        <w:r w:rsidR="009D3B33" w:rsidRPr="00AE4A03">
          <w:rPr>
            <w:rStyle w:val="Lienhypertexte"/>
            <w:b/>
            <w:noProof/>
          </w:rPr>
          <w:t>9.</w:t>
        </w:r>
        <w:r w:rsidR="009D3B33">
          <w:rPr>
            <w:rFonts w:asciiTheme="minorHAnsi" w:eastAsiaTheme="minorEastAsia" w:hAnsiTheme="minorHAnsi"/>
            <w:noProof/>
            <w:lang w:eastAsia="fr-FR"/>
          </w:rPr>
          <w:tab/>
        </w:r>
        <w:r w:rsidR="009D3B33" w:rsidRPr="00AE4A03">
          <w:rPr>
            <w:rStyle w:val="Lienhypertexte"/>
            <w:noProof/>
          </w:rPr>
          <w:t>PENALITES APPLICABLES</w:t>
        </w:r>
        <w:r w:rsidR="009D3B33">
          <w:rPr>
            <w:noProof/>
            <w:webHidden/>
          </w:rPr>
          <w:tab/>
        </w:r>
        <w:r w:rsidR="009D3B33">
          <w:rPr>
            <w:noProof/>
            <w:webHidden/>
          </w:rPr>
          <w:fldChar w:fldCharType="begin"/>
        </w:r>
        <w:r w:rsidR="009D3B33">
          <w:rPr>
            <w:noProof/>
            <w:webHidden/>
          </w:rPr>
          <w:instrText xml:space="preserve"> PAGEREF _Toc190693453 \h </w:instrText>
        </w:r>
        <w:r w:rsidR="009D3B33">
          <w:rPr>
            <w:noProof/>
            <w:webHidden/>
          </w:rPr>
        </w:r>
        <w:r w:rsidR="009D3B33">
          <w:rPr>
            <w:noProof/>
            <w:webHidden/>
          </w:rPr>
          <w:fldChar w:fldCharType="separate"/>
        </w:r>
        <w:r w:rsidR="009D3B33">
          <w:rPr>
            <w:noProof/>
            <w:webHidden/>
          </w:rPr>
          <w:t>16</w:t>
        </w:r>
        <w:r w:rsidR="009D3B33">
          <w:rPr>
            <w:noProof/>
            <w:webHidden/>
          </w:rPr>
          <w:fldChar w:fldCharType="end"/>
        </w:r>
      </w:hyperlink>
    </w:p>
    <w:p w14:paraId="750A663F" w14:textId="5BFE0049" w:rsidR="009D3B33" w:rsidRDefault="006D7D4C">
      <w:pPr>
        <w:pStyle w:val="TM2"/>
        <w:tabs>
          <w:tab w:val="left" w:pos="660"/>
        </w:tabs>
        <w:rPr>
          <w:rFonts w:asciiTheme="minorHAnsi" w:eastAsiaTheme="minorEastAsia" w:hAnsiTheme="minorHAnsi" w:cstheme="minorBidi"/>
          <w:noProof/>
          <w:lang w:eastAsia="fr-FR"/>
        </w:rPr>
      </w:pPr>
      <w:hyperlink w:anchor="_Toc190693454" w:history="1">
        <w:r w:rsidR="009D3B33" w:rsidRPr="00AE4A03">
          <w:rPr>
            <w:rStyle w:val="Lienhypertexte"/>
            <w:rFonts w:ascii="AvenirNext LT Pro Cn" w:hAnsi="AvenirNext LT Pro Cn"/>
            <w:noProof/>
          </w:rPr>
          <w:t>9.1.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Pénalités pour retard</w:t>
        </w:r>
        <w:r w:rsidR="009D3B33">
          <w:rPr>
            <w:noProof/>
            <w:webHidden/>
          </w:rPr>
          <w:tab/>
        </w:r>
        <w:r w:rsidR="009D3B33">
          <w:rPr>
            <w:noProof/>
            <w:webHidden/>
          </w:rPr>
          <w:fldChar w:fldCharType="begin"/>
        </w:r>
        <w:r w:rsidR="009D3B33">
          <w:rPr>
            <w:noProof/>
            <w:webHidden/>
          </w:rPr>
          <w:instrText xml:space="preserve"> PAGEREF _Toc190693454 \h </w:instrText>
        </w:r>
        <w:r w:rsidR="009D3B33">
          <w:rPr>
            <w:noProof/>
            <w:webHidden/>
          </w:rPr>
        </w:r>
        <w:r w:rsidR="009D3B33">
          <w:rPr>
            <w:noProof/>
            <w:webHidden/>
          </w:rPr>
          <w:fldChar w:fldCharType="separate"/>
        </w:r>
        <w:r w:rsidR="009D3B33">
          <w:rPr>
            <w:noProof/>
            <w:webHidden/>
          </w:rPr>
          <w:t>16</w:t>
        </w:r>
        <w:r w:rsidR="009D3B33">
          <w:rPr>
            <w:noProof/>
            <w:webHidden/>
          </w:rPr>
          <w:fldChar w:fldCharType="end"/>
        </w:r>
      </w:hyperlink>
    </w:p>
    <w:p w14:paraId="2B0181DE" w14:textId="1C60BC68" w:rsidR="009D3B33" w:rsidRDefault="006D7D4C">
      <w:pPr>
        <w:pStyle w:val="TM2"/>
        <w:tabs>
          <w:tab w:val="left" w:pos="660"/>
        </w:tabs>
        <w:rPr>
          <w:rFonts w:asciiTheme="minorHAnsi" w:eastAsiaTheme="minorEastAsia" w:hAnsiTheme="minorHAnsi" w:cstheme="minorBidi"/>
          <w:noProof/>
          <w:lang w:eastAsia="fr-FR"/>
        </w:rPr>
      </w:pPr>
      <w:hyperlink w:anchor="_Toc190693455" w:history="1">
        <w:r w:rsidR="009D3B33" w:rsidRPr="00AE4A03">
          <w:rPr>
            <w:rStyle w:val="Lienhypertexte"/>
            <w:rFonts w:ascii="AvenirNext LT Pro Cn" w:hAnsi="AvenirNext LT Pro Cn"/>
            <w:noProof/>
          </w:rPr>
          <w:t>9.2.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 Pénalités pour non-respect du délai d’intervention en cas de panne</w:t>
        </w:r>
        <w:r w:rsidR="009D3B33">
          <w:rPr>
            <w:noProof/>
            <w:webHidden/>
          </w:rPr>
          <w:tab/>
        </w:r>
        <w:r w:rsidR="009D3B33">
          <w:rPr>
            <w:noProof/>
            <w:webHidden/>
          </w:rPr>
          <w:fldChar w:fldCharType="begin"/>
        </w:r>
        <w:r w:rsidR="009D3B33">
          <w:rPr>
            <w:noProof/>
            <w:webHidden/>
          </w:rPr>
          <w:instrText xml:space="preserve"> PAGEREF _Toc190693455 \h </w:instrText>
        </w:r>
        <w:r w:rsidR="009D3B33">
          <w:rPr>
            <w:noProof/>
            <w:webHidden/>
          </w:rPr>
        </w:r>
        <w:r w:rsidR="009D3B33">
          <w:rPr>
            <w:noProof/>
            <w:webHidden/>
          </w:rPr>
          <w:fldChar w:fldCharType="separate"/>
        </w:r>
        <w:r w:rsidR="009D3B33">
          <w:rPr>
            <w:noProof/>
            <w:webHidden/>
          </w:rPr>
          <w:t>16</w:t>
        </w:r>
        <w:r w:rsidR="009D3B33">
          <w:rPr>
            <w:noProof/>
            <w:webHidden/>
          </w:rPr>
          <w:fldChar w:fldCharType="end"/>
        </w:r>
      </w:hyperlink>
    </w:p>
    <w:p w14:paraId="73DFD951" w14:textId="3138701A" w:rsidR="009D3B33" w:rsidRDefault="006D7D4C">
      <w:pPr>
        <w:pStyle w:val="TM2"/>
        <w:tabs>
          <w:tab w:val="left" w:pos="660"/>
        </w:tabs>
        <w:rPr>
          <w:rFonts w:asciiTheme="minorHAnsi" w:eastAsiaTheme="minorEastAsia" w:hAnsiTheme="minorHAnsi" w:cstheme="minorBidi"/>
          <w:noProof/>
          <w:lang w:eastAsia="fr-FR"/>
        </w:rPr>
      </w:pPr>
      <w:hyperlink w:anchor="_Toc190693456" w:history="1">
        <w:r w:rsidR="009D3B33" w:rsidRPr="00AE4A03">
          <w:rPr>
            <w:rStyle w:val="Lienhypertexte"/>
            <w:rFonts w:ascii="AvenirNext LT Pro Cn" w:hAnsi="AvenirNext LT Pro Cn"/>
            <w:noProof/>
          </w:rPr>
          <w:t>9.3.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Pénalités pour non-respect du délai de mise au point ou de réparation en cas de panne</w:t>
        </w:r>
        <w:r w:rsidR="009D3B33">
          <w:rPr>
            <w:noProof/>
            <w:webHidden/>
          </w:rPr>
          <w:tab/>
        </w:r>
        <w:r w:rsidR="009D3B33">
          <w:rPr>
            <w:noProof/>
            <w:webHidden/>
          </w:rPr>
          <w:fldChar w:fldCharType="begin"/>
        </w:r>
        <w:r w:rsidR="009D3B33">
          <w:rPr>
            <w:noProof/>
            <w:webHidden/>
          </w:rPr>
          <w:instrText xml:space="preserve"> PAGEREF _Toc190693456 \h </w:instrText>
        </w:r>
        <w:r w:rsidR="009D3B33">
          <w:rPr>
            <w:noProof/>
            <w:webHidden/>
          </w:rPr>
        </w:r>
        <w:r w:rsidR="009D3B33">
          <w:rPr>
            <w:noProof/>
            <w:webHidden/>
          </w:rPr>
          <w:fldChar w:fldCharType="separate"/>
        </w:r>
        <w:r w:rsidR="009D3B33">
          <w:rPr>
            <w:noProof/>
            <w:webHidden/>
          </w:rPr>
          <w:t>17</w:t>
        </w:r>
        <w:r w:rsidR="009D3B33">
          <w:rPr>
            <w:noProof/>
            <w:webHidden/>
          </w:rPr>
          <w:fldChar w:fldCharType="end"/>
        </w:r>
      </w:hyperlink>
    </w:p>
    <w:p w14:paraId="6DA0F70D" w14:textId="1905255A" w:rsidR="009D3B33" w:rsidRDefault="006D7D4C">
      <w:pPr>
        <w:pStyle w:val="TM2"/>
        <w:tabs>
          <w:tab w:val="left" w:pos="660"/>
        </w:tabs>
        <w:rPr>
          <w:rFonts w:asciiTheme="minorHAnsi" w:eastAsiaTheme="minorEastAsia" w:hAnsiTheme="minorHAnsi" w:cstheme="minorBidi"/>
          <w:noProof/>
          <w:lang w:eastAsia="fr-FR"/>
        </w:rPr>
      </w:pPr>
      <w:hyperlink w:anchor="_Toc190693457" w:history="1">
        <w:r w:rsidR="009D3B33" w:rsidRPr="00AE4A03">
          <w:rPr>
            <w:rStyle w:val="Lienhypertexte"/>
            <w:rFonts w:eastAsiaTheme="majorEastAsia" w:cstheme="majorBidi"/>
            <w:noProof/>
          </w:rPr>
          <w:t>9.4.</w:t>
        </w:r>
        <w:r w:rsidR="009D3B33">
          <w:rPr>
            <w:rFonts w:asciiTheme="minorHAnsi" w:eastAsiaTheme="minorEastAsia" w:hAnsiTheme="minorHAnsi" w:cstheme="minorBidi"/>
            <w:noProof/>
            <w:lang w:eastAsia="fr-FR"/>
          </w:rPr>
          <w:tab/>
        </w:r>
        <w:r w:rsidR="009D3B33" w:rsidRPr="00AE4A03">
          <w:rPr>
            <w:rStyle w:val="Lienhypertexte"/>
            <w:rFonts w:eastAsiaTheme="majorEastAsia" w:cstheme="majorBidi"/>
            <w:noProof/>
          </w:rPr>
          <w:t>- Pénalités pour indisponibilité</w:t>
        </w:r>
        <w:r w:rsidR="009D3B33">
          <w:rPr>
            <w:noProof/>
            <w:webHidden/>
          </w:rPr>
          <w:tab/>
        </w:r>
        <w:r w:rsidR="009D3B33">
          <w:rPr>
            <w:noProof/>
            <w:webHidden/>
          </w:rPr>
          <w:fldChar w:fldCharType="begin"/>
        </w:r>
        <w:r w:rsidR="009D3B33">
          <w:rPr>
            <w:noProof/>
            <w:webHidden/>
          </w:rPr>
          <w:instrText xml:space="preserve"> PAGEREF _Toc190693457 \h </w:instrText>
        </w:r>
        <w:r w:rsidR="009D3B33">
          <w:rPr>
            <w:noProof/>
            <w:webHidden/>
          </w:rPr>
        </w:r>
        <w:r w:rsidR="009D3B33">
          <w:rPr>
            <w:noProof/>
            <w:webHidden/>
          </w:rPr>
          <w:fldChar w:fldCharType="separate"/>
        </w:r>
        <w:r w:rsidR="009D3B33">
          <w:rPr>
            <w:noProof/>
            <w:webHidden/>
          </w:rPr>
          <w:t>17</w:t>
        </w:r>
        <w:r w:rsidR="009D3B33">
          <w:rPr>
            <w:noProof/>
            <w:webHidden/>
          </w:rPr>
          <w:fldChar w:fldCharType="end"/>
        </w:r>
      </w:hyperlink>
    </w:p>
    <w:p w14:paraId="5332AD06" w14:textId="0D19E688" w:rsidR="009D3B33" w:rsidRDefault="006D7D4C">
      <w:pPr>
        <w:pStyle w:val="TM2"/>
        <w:tabs>
          <w:tab w:val="left" w:pos="660"/>
        </w:tabs>
        <w:rPr>
          <w:rFonts w:asciiTheme="minorHAnsi" w:eastAsiaTheme="minorEastAsia" w:hAnsiTheme="minorHAnsi" w:cstheme="minorBidi"/>
          <w:noProof/>
          <w:lang w:eastAsia="fr-FR"/>
        </w:rPr>
      </w:pPr>
      <w:hyperlink w:anchor="_Toc190693458" w:history="1">
        <w:r w:rsidR="009D3B33" w:rsidRPr="00AE4A03">
          <w:rPr>
            <w:rStyle w:val="Lienhypertexte"/>
            <w:rFonts w:ascii="AvenirNext LT Pro Cn" w:hAnsi="AvenirNext LT Pro Cn"/>
            <w:noProof/>
          </w:rPr>
          <w:t>9.5.</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Pénalités pour indisponibilité des pièces détachées</w:t>
        </w:r>
        <w:r w:rsidR="009D3B33">
          <w:rPr>
            <w:noProof/>
            <w:webHidden/>
          </w:rPr>
          <w:tab/>
        </w:r>
        <w:r w:rsidR="009D3B33">
          <w:rPr>
            <w:noProof/>
            <w:webHidden/>
          </w:rPr>
          <w:fldChar w:fldCharType="begin"/>
        </w:r>
        <w:r w:rsidR="009D3B33">
          <w:rPr>
            <w:noProof/>
            <w:webHidden/>
          </w:rPr>
          <w:instrText xml:space="preserve"> PAGEREF _Toc190693458 \h </w:instrText>
        </w:r>
        <w:r w:rsidR="009D3B33">
          <w:rPr>
            <w:noProof/>
            <w:webHidden/>
          </w:rPr>
        </w:r>
        <w:r w:rsidR="009D3B33">
          <w:rPr>
            <w:noProof/>
            <w:webHidden/>
          </w:rPr>
          <w:fldChar w:fldCharType="separate"/>
        </w:r>
        <w:r w:rsidR="009D3B33">
          <w:rPr>
            <w:noProof/>
            <w:webHidden/>
          </w:rPr>
          <w:t>18</w:t>
        </w:r>
        <w:r w:rsidR="009D3B33">
          <w:rPr>
            <w:noProof/>
            <w:webHidden/>
          </w:rPr>
          <w:fldChar w:fldCharType="end"/>
        </w:r>
      </w:hyperlink>
    </w:p>
    <w:p w14:paraId="5A24B065" w14:textId="5CA1B555" w:rsidR="009D3B33" w:rsidRDefault="006D7D4C">
      <w:pPr>
        <w:pStyle w:val="TM2"/>
        <w:tabs>
          <w:tab w:val="left" w:pos="660"/>
        </w:tabs>
        <w:rPr>
          <w:rFonts w:asciiTheme="minorHAnsi" w:eastAsiaTheme="minorEastAsia" w:hAnsiTheme="minorHAnsi" w:cstheme="minorBidi"/>
          <w:noProof/>
          <w:lang w:eastAsia="fr-FR"/>
        </w:rPr>
      </w:pPr>
      <w:hyperlink w:anchor="_Toc190693459" w:history="1">
        <w:r w:rsidR="009D3B33" w:rsidRPr="00AE4A03">
          <w:rPr>
            <w:rStyle w:val="Lienhypertexte"/>
            <w:rFonts w:ascii="AvenirNext LT Pro Cn" w:hAnsi="AvenirNext LT Pro Cn"/>
            <w:noProof/>
          </w:rPr>
          <w:t>9.6.</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Pénalités pour non-respect des dispositions environnementales</w:t>
        </w:r>
        <w:r w:rsidR="009D3B33">
          <w:rPr>
            <w:noProof/>
            <w:webHidden/>
          </w:rPr>
          <w:tab/>
        </w:r>
        <w:r w:rsidR="009D3B33">
          <w:rPr>
            <w:noProof/>
            <w:webHidden/>
          </w:rPr>
          <w:fldChar w:fldCharType="begin"/>
        </w:r>
        <w:r w:rsidR="009D3B33">
          <w:rPr>
            <w:noProof/>
            <w:webHidden/>
          </w:rPr>
          <w:instrText xml:space="preserve"> PAGEREF _Toc190693459 \h </w:instrText>
        </w:r>
        <w:r w:rsidR="009D3B33">
          <w:rPr>
            <w:noProof/>
            <w:webHidden/>
          </w:rPr>
        </w:r>
        <w:r w:rsidR="009D3B33">
          <w:rPr>
            <w:noProof/>
            <w:webHidden/>
          </w:rPr>
          <w:fldChar w:fldCharType="separate"/>
        </w:r>
        <w:r w:rsidR="009D3B33">
          <w:rPr>
            <w:noProof/>
            <w:webHidden/>
          </w:rPr>
          <w:t>18</w:t>
        </w:r>
        <w:r w:rsidR="009D3B33">
          <w:rPr>
            <w:noProof/>
            <w:webHidden/>
          </w:rPr>
          <w:fldChar w:fldCharType="end"/>
        </w:r>
      </w:hyperlink>
    </w:p>
    <w:p w14:paraId="4C8FFE23" w14:textId="3609AC77" w:rsidR="009D3B33" w:rsidRDefault="006D7D4C">
      <w:pPr>
        <w:pStyle w:val="TM2"/>
        <w:tabs>
          <w:tab w:val="left" w:pos="660"/>
        </w:tabs>
        <w:rPr>
          <w:rFonts w:asciiTheme="minorHAnsi" w:eastAsiaTheme="minorEastAsia" w:hAnsiTheme="minorHAnsi" w:cstheme="minorBidi"/>
          <w:noProof/>
          <w:lang w:eastAsia="fr-FR"/>
        </w:rPr>
      </w:pPr>
      <w:hyperlink w:anchor="_Toc190693460" w:history="1">
        <w:r w:rsidR="009D3B33" w:rsidRPr="00AE4A03">
          <w:rPr>
            <w:rStyle w:val="Lienhypertexte"/>
            <w:rFonts w:eastAsiaTheme="majorEastAsia" w:cstheme="majorBidi"/>
            <w:noProof/>
          </w:rPr>
          <w:t>9.7.</w:t>
        </w:r>
        <w:r w:rsidR="009D3B33">
          <w:rPr>
            <w:rFonts w:asciiTheme="minorHAnsi" w:eastAsiaTheme="minorEastAsia" w:hAnsiTheme="minorHAnsi" w:cstheme="minorBidi"/>
            <w:noProof/>
            <w:lang w:eastAsia="fr-FR"/>
          </w:rPr>
          <w:tab/>
        </w:r>
        <w:r w:rsidR="009D3B33" w:rsidRPr="00AE4A03">
          <w:rPr>
            <w:rStyle w:val="Lienhypertexte"/>
            <w:rFonts w:eastAsiaTheme="majorEastAsia" w:cstheme="majorBidi"/>
            <w:noProof/>
          </w:rPr>
          <w:t>- Pénalités pour non-respect des formalités relatives à la lutte contre le travail illégal</w:t>
        </w:r>
        <w:r w:rsidR="009D3B33">
          <w:rPr>
            <w:noProof/>
            <w:webHidden/>
          </w:rPr>
          <w:tab/>
        </w:r>
        <w:r w:rsidR="009D3B33">
          <w:rPr>
            <w:noProof/>
            <w:webHidden/>
          </w:rPr>
          <w:fldChar w:fldCharType="begin"/>
        </w:r>
        <w:r w:rsidR="009D3B33">
          <w:rPr>
            <w:noProof/>
            <w:webHidden/>
          </w:rPr>
          <w:instrText xml:space="preserve"> PAGEREF _Toc190693460 \h </w:instrText>
        </w:r>
        <w:r w:rsidR="009D3B33">
          <w:rPr>
            <w:noProof/>
            <w:webHidden/>
          </w:rPr>
        </w:r>
        <w:r w:rsidR="009D3B33">
          <w:rPr>
            <w:noProof/>
            <w:webHidden/>
          </w:rPr>
          <w:fldChar w:fldCharType="separate"/>
        </w:r>
        <w:r w:rsidR="009D3B33">
          <w:rPr>
            <w:noProof/>
            <w:webHidden/>
          </w:rPr>
          <w:t>18</w:t>
        </w:r>
        <w:r w:rsidR="009D3B33">
          <w:rPr>
            <w:noProof/>
            <w:webHidden/>
          </w:rPr>
          <w:fldChar w:fldCharType="end"/>
        </w:r>
      </w:hyperlink>
    </w:p>
    <w:p w14:paraId="4B1570B0" w14:textId="12EFD2D0"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61" w:history="1">
        <w:r w:rsidR="009D3B33" w:rsidRPr="00AE4A03">
          <w:rPr>
            <w:rStyle w:val="Lienhypertexte"/>
            <w:b/>
            <w:noProof/>
          </w:rPr>
          <w:t>10.</w:t>
        </w:r>
        <w:r w:rsidR="009D3B33">
          <w:rPr>
            <w:rFonts w:asciiTheme="minorHAnsi" w:eastAsiaTheme="minorEastAsia" w:hAnsiTheme="minorHAnsi"/>
            <w:noProof/>
            <w:lang w:eastAsia="fr-FR"/>
          </w:rPr>
          <w:tab/>
        </w:r>
        <w:r w:rsidR="009D3B33" w:rsidRPr="00AE4A03">
          <w:rPr>
            <w:rStyle w:val="Lienhypertexte"/>
            <w:noProof/>
          </w:rPr>
          <w:t>CLAUSES ENVIRONNEMENTALES</w:t>
        </w:r>
        <w:r w:rsidR="009D3B33">
          <w:rPr>
            <w:noProof/>
            <w:webHidden/>
          </w:rPr>
          <w:tab/>
        </w:r>
        <w:r w:rsidR="009D3B33">
          <w:rPr>
            <w:noProof/>
            <w:webHidden/>
          </w:rPr>
          <w:fldChar w:fldCharType="begin"/>
        </w:r>
        <w:r w:rsidR="009D3B33">
          <w:rPr>
            <w:noProof/>
            <w:webHidden/>
          </w:rPr>
          <w:instrText xml:space="preserve"> PAGEREF _Toc190693461 \h </w:instrText>
        </w:r>
        <w:r w:rsidR="009D3B33">
          <w:rPr>
            <w:noProof/>
            <w:webHidden/>
          </w:rPr>
        </w:r>
        <w:r w:rsidR="009D3B33">
          <w:rPr>
            <w:noProof/>
            <w:webHidden/>
          </w:rPr>
          <w:fldChar w:fldCharType="separate"/>
        </w:r>
        <w:r w:rsidR="009D3B33">
          <w:rPr>
            <w:noProof/>
            <w:webHidden/>
          </w:rPr>
          <w:t>18</w:t>
        </w:r>
        <w:r w:rsidR="009D3B33">
          <w:rPr>
            <w:noProof/>
            <w:webHidden/>
          </w:rPr>
          <w:fldChar w:fldCharType="end"/>
        </w:r>
      </w:hyperlink>
    </w:p>
    <w:p w14:paraId="1090DFF7" w14:textId="768B7522"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62" w:history="1">
        <w:r w:rsidR="009D3B33" w:rsidRPr="00AE4A03">
          <w:rPr>
            <w:rStyle w:val="Lienhypertexte"/>
            <w:b/>
            <w:noProof/>
          </w:rPr>
          <w:t>11.</w:t>
        </w:r>
        <w:r w:rsidR="009D3B33">
          <w:rPr>
            <w:rFonts w:asciiTheme="minorHAnsi" w:eastAsiaTheme="minorEastAsia" w:hAnsiTheme="minorHAnsi"/>
            <w:noProof/>
            <w:lang w:eastAsia="fr-FR"/>
          </w:rPr>
          <w:tab/>
        </w:r>
        <w:r w:rsidR="009D3B33" w:rsidRPr="00AE4A03">
          <w:rPr>
            <w:rStyle w:val="Lienhypertexte"/>
            <w:noProof/>
          </w:rPr>
          <w:t>GARANTIE ET SAV</w:t>
        </w:r>
        <w:r w:rsidR="009D3B33">
          <w:rPr>
            <w:noProof/>
            <w:webHidden/>
          </w:rPr>
          <w:tab/>
        </w:r>
        <w:r w:rsidR="009D3B33">
          <w:rPr>
            <w:noProof/>
            <w:webHidden/>
          </w:rPr>
          <w:fldChar w:fldCharType="begin"/>
        </w:r>
        <w:r w:rsidR="009D3B33">
          <w:rPr>
            <w:noProof/>
            <w:webHidden/>
          </w:rPr>
          <w:instrText xml:space="preserve"> PAGEREF _Toc190693462 \h </w:instrText>
        </w:r>
        <w:r w:rsidR="009D3B33">
          <w:rPr>
            <w:noProof/>
            <w:webHidden/>
          </w:rPr>
        </w:r>
        <w:r w:rsidR="009D3B33">
          <w:rPr>
            <w:noProof/>
            <w:webHidden/>
          </w:rPr>
          <w:fldChar w:fldCharType="separate"/>
        </w:r>
        <w:r w:rsidR="009D3B33">
          <w:rPr>
            <w:noProof/>
            <w:webHidden/>
          </w:rPr>
          <w:t>19</w:t>
        </w:r>
        <w:r w:rsidR="009D3B33">
          <w:rPr>
            <w:noProof/>
            <w:webHidden/>
          </w:rPr>
          <w:fldChar w:fldCharType="end"/>
        </w:r>
      </w:hyperlink>
    </w:p>
    <w:p w14:paraId="20ECB9E9" w14:textId="485E9FB0" w:rsidR="009D3B33" w:rsidRDefault="006D7D4C">
      <w:pPr>
        <w:pStyle w:val="TM2"/>
        <w:tabs>
          <w:tab w:val="left" w:pos="660"/>
        </w:tabs>
        <w:rPr>
          <w:rFonts w:asciiTheme="minorHAnsi" w:eastAsiaTheme="minorEastAsia" w:hAnsiTheme="minorHAnsi" w:cstheme="minorBidi"/>
          <w:noProof/>
          <w:lang w:eastAsia="fr-FR"/>
        </w:rPr>
      </w:pPr>
      <w:hyperlink w:anchor="_Toc190693463" w:history="1">
        <w:r w:rsidR="009D3B33" w:rsidRPr="00AE4A03">
          <w:rPr>
            <w:rStyle w:val="Lienhypertexte"/>
            <w:rFonts w:ascii="AvenirNext LT Pro Cn" w:hAnsi="AvenirNext LT Pro Cn"/>
            <w:noProof/>
          </w:rPr>
          <w:t>11.1.</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 Garantie</w:t>
        </w:r>
        <w:r w:rsidR="009D3B33">
          <w:rPr>
            <w:noProof/>
            <w:webHidden/>
          </w:rPr>
          <w:tab/>
        </w:r>
        <w:r w:rsidR="009D3B33">
          <w:rPr>
            <w:noProof/>
            <w:webHidden/>
          </w:rPr>
          <w:fldChar w:fldCharType="begin"/>
        </w:r>
        <w:r w:rsidR="009D3B33">
          <w:rPr>
            <w:noProof/>
            <w:webHidden/>
          </w:rPr>
          <w:instrText xml:space="preserve"> PAGEREF _Toc190693463 \h </w:instrText>
        </w:r>
        <w:r w:rsidR="009D3B33">
          <w:rPr>
            <w:noProof/>
            <w:webHidden/>
          </w:rPr>
        </w:r>
        <w:r w:rsidR="009D3B33">
          <w:rPr>
            <w:noProof/>
            <w:webHidden/>
          </w:rPr>
          <w:fldChar w:fldCharType="separate"/>
        </w:r>
        <w:r w:rsidR="009D3B33">
          <w:rPr>
            <w:noProof/>
            <w:webHidden/>
          </w:rPr>
          <w:t>19</w:t>
        </w:r>
        <w:r w:rsidR="009D3B33">
          <w:rPr>
            <w:noProof/>
            <w:webHidden/>
          </w:rPr>
          <w:fldChar w:fldCharType="end"/>
        </w:r>
      </w:hyperlink>
    </w:p>
    <w:p w14:paraId="34A4D572" w14:textId="4054DF8E" w:rsidR="009D3B33" w:rsidRDefault="006D7D4C">
      <w:pPr>
        <w:pStyle w:val="TM2"/>
        <w:tabs>
          <w:tab w:val="left" w:pos="660"/>
        </w:tabs>
        <w:rPr>
          <w:rFonts w:asciiTheme="minorHAnsi" w:eastAsiaTheme="minorEastAsia" w:hAnsiTheme="minorHAnsi" w:cstheme="minorBidi"/>
          <w:noProof/>
          <w:lang w:eastAsia="fr-FR"/>
        </w:rPr>
      </w:pPr>
      <w:hyperlink w:anchor="_Toc190693464" w:history="1">
        <w:r w:rsidR="009D3B33" w:rsidRPr="00AE4A03">
          <w:rPr>
            <w:rStyle w:val="Lienhypertexte"/>
            <w:rFonts w:ascii="AvenirNext LT Pro Cn" w:hAnsi="AvenirNext LT Pro Cn"/>
            <w:noProof/>
          </w:rPr>
          <w:t>11.2.</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Support technique</w:t>
        </w:r>
        <w:r w:rsidR="009D3B33">
          <w:rPr>
            <w:noProof/>
            <w:webHidden/>
          </w:rPr>
          <w:tab/>
        </w:r>
        <w:r w:rsidR="009D3B33">
          <w:rPr>
            <w:noProof/>
            <w:webHidden/>
          </w:rPr>
          <w:fldChar w:fldCharType="begin"/>
        </w:r>
        <w:r w:rsidR="009D3B33">
          <w:rPr>
            <w:noProof/>
            <w:webHidden/>
          </w:rPr>
          <w:instrText xml:space="preserve"> PAGEREF _Toc190693464 \h </w:instrText>
        </w:r>
        <w:r w:rsidR="009D3B33">
          <w:rPr>
            <w:noProof/>
            <w:webHidden/>
          </w:rPr>
        </w:r>
        <w:r w:rsidR="009D3B33">
          <w:rPr>
            <w:noProof/>
            <w:webHidden/>
          </w:rPr>
          <w:fldChar w:fldCharType="separate"/>
        </w:r>
        <w:r w:rsidR="009D3B33">
          <w:rPr>
            <w:noProof/>
            <w:webHidden/>
          </w:rPr>
          <w:t>19</w:t>
        </w:r>
        <w:r w:rsidR="009D3B33">
          <w:rPr>
            <w:noProof/>
            <w:webHidden/>
          </w:rPr>
          <w:fldChar w:fldCharType="end"/>
        </w:r>
      </w:hyperlink>
    </w:p>
    <w:p w14:paraId="329D39ED" w14:textId="6A276D49" w:rsidR="009D3B33" w:rsidRDefault="006D7D4C">
      <w:pPr>
        <w:pStyle w:val="TM2"/>
        <w:rPr>
          <w:rFonts w:asciiTheme="minorHAnsi" w:eastAsiaTheme="minorEastAsia" w:hAnsiTheme="minorHAnsi" w:cstheme="minorBidi"/>
          <w:noProof/>
          <w:lang w:eastAsia="fr-FR"/>
        </w:rPr>
      </w:pPr>
      <w:hyperlink w:anchor="_Toc190693465" w:history="1">
        <w:r w:rsidR="009D3B33" w:rsidRPr="00AE4A03">
          <w:rPr>
            <w:rStyle w:val="Lienhypertexte"/>
            <w:i/>
            <w:iCs/>
            <w:noProof/>
          </w:rPr>
          <w:t>11.2.1 - Logiciels de pilotage et de traitement des données</w:t>
        </w:r>
        <w:r w:rsidR="009D3B33">
          <w:rPr>
            <w:noProof/>
            <w:webHidden/>
          </w:rPr>
          <w:tab/>
        </w:r>
        <w:r w:rsidR="009D3B33">
          <w:rPr>
            <w:noProof/>
            <w:webHidden/>
          </w:rPr>
          <w:fldChar w:fldCharType="begin"/>
        </w:r>
        <w:r w:rsidR="009D3B33">
          <w:rPr>
            <w:noProof/>
            <w:webHidden/>
          </w:rPr>
          <w:instrText xml:space="preserve"> PAGEREF _Toc190693465 \h </w:instrText>
        </w:r>
        <w:r w:rsidR="009D3B33">
          <w:rPr>
            <w:noProof/>
            <w:webHidden/>
          </w:rPr>
        </w:r>
        <w:r w:rsidR="009D3B33">
          <w:rPr>
            <w:noProof/>
            <w:webHidden/>
          </w:rPr>
          <w:fldChar w:fldCharType="separate"/>
        </w:r>
        <w:r w:rsidR="009D3B33">
          <w:rPr>
            <w:noProof/>
            <w:webHidden/>
          </w:rPr>
          <w:t>19</w:t>
        </w:r>
        <w:r w:rsidR="009D3B33">
          <w:rPr>
            <w:noProof/>
            <w:webHidden/>
          </w:rPr>
          <w:fldChar w:fldCharType="end"/>
        </w:r>
      </w:hyperlink>
    </w:p>
    <w:p w14:paraId="54C405D3" w14:textId="644EDF39" w:rsidR="009D3B33" w:rsidRDefault="006D7D4C">
      <w:pPr>
        <w:pStyle w:val="TM2"/>
        <w:rPr>
          <w:rFonts w:asciiTheme="minorHAnsi" w:eastAsiaTheme="minorEastAsia" w:hAnsiTheme="minorHAnsi" w:cstheme="minorBidi"/>
          <w:noProof/>
          <w:lang w:eastAsia="fr-FR"/>
        </w:rPr>
      </w:pPr>
      <w:hyperlink w:anchor="_Toc190693466" w:history="1">
        <w:r w:rsidR="009D3B33" w:rsidRPr="00AE4A03">
          <w:rPr>
            <w:rStyle w:val="Lienhypertexte"/>
            <w:i/>
            <w:iCs/>
            <w:noProof/>
          </w:rPr>
          <w:t>11.2.2 - Délais d’intervention en cas de panne</w:t>
        </w:r>
        <w:r w:rsidR="009D3B33">
          <w:rPr>
            <w:noProof/>
            <w:webHidden/>
          </w:rPr>
          <w:tab/>
        </w:r>
        <w:r w:rsidR="009D3B33">
          <w:rPr>
            <w:noProof/>
            <w:webHidden/>
          </w:rPr>
          <w:fldChar w:fldCharType="begin"/>
        </w:r>
        <w:r w:rsidR="009D3B33">
          <w:rPr>
            <w:noProof/>
            <w:webHidden/>
          </w:rPr>
          <w:instrText xml:space="preserve"> PAGEREF _Toc190693466 \h </w:instrText>
        </w:r>
        <w:r w:rsidR="009D3B33">
          <w:rPr>
            <w:noProof/>
            <w:webHidden/>
          </w:rPr>
        </w:r>
        <w:r w:rsidR="009D3B33">
          <w:rPr>
            <w:noProof/>
            <w:webHidden/>
          </w:rPr>
          <w:fldChar w:fldCharType="separate"/>
        </w:r>
        <w:r w:rsidR="009D3B33">
          <w:rPr>
            <w:noProof/>
            <w:webHidden/>
          </w:rPr>
          <w:t>19</w:t>
        </w:r>
        <w:r w:rsidR="009D3B33">
          <w:rPr>
            <w:noProof/>
            <w:webHidden/>
          </w:rPr>
          <w:fldChar w:fldCharType="end"/>
        </w:r>
      </w:hyperlink>
    </w:p>
    <w:p w14:paraId="7F20497D" w14:textId="6105552A" w:rsidR="009D3B33" w:rsidRDefault="006D7D4C">
      <w:pPr>
        <w:pStyle w:val="TM2"/>
        <w:rPr>
          <w:rFonts w:asciiTheme="minorHAnsi" w:eastAsiaTheme="minorEastAsia" w:hAnsiTheme="minorHAnsi" w:cstheme="minorBidi"/>
          <w:noProof/>
          <w:lang w:eastAsia="fr-FR"/>
        </w:rPr>
      </w:pPr>
      <w:hyperlink w:anchor="_Toc190693467" w:history="1">
        <w:r w:rsidR="009D3B33" w:rsidRPr="00AE4A03">
          <w:rPr>
            <w:rStyle w:val="Lienhypertexte"/>
            <w:i/>
            <w:iCs/>
            <w:noProof/>
          </w:rPr>
          <w:t>11.2.3 - Délais de mise au point ou de réparation en cas de panne</w:t>
        </w:r>
        <w:r w:rsidR="009D3B33">
          <w:rPr>
            <w:noProof/>
            <w:webHidden/>
          </w:rPr>
          <w:tab/>
        </w:r>
        <w:r w:rsidR="009D3B33">
          <w:rPr>
            <w:noProof/>
            <w:webHidden/>
          </w:rPr>
          <w:fldChar w:fldCharType="begin"/>
        </w:r>
        <w:r w:rsidR="009D3B33">
          <w:rPr>
            <w:noProof/>
            <w:webHidden/>
          </w:rPr>
          <w:instrText xml:space="preserve"> PAGEREF _Toc190693467 \h </w:instrText>
        </w:r>
        <w:r w:rsidR="009D3B33">
          <w:rPr>
            <w:noProof/>
            <w:webHidden/>
          </w:rPr>
        </w:r>
        <w:r w:rsidR="009D3B33">
          <w:rPr>
            <w:noProof/>
            <w:webHidden/>
          </w:rPr>
          <w:fldChar w:fldCharType="separate"/>
        </w:r>
        <w:r w:rsidR="009D3B33">
          <w:rPr>
            <w:noProof/>
            <w:webHidden/>
          </w:rPr>
          <w:t>20</w:t>
        </w:r>
        <w:r w:rsidR="009D3B33">
          <w:rPr>
            <w:noProof/>
            <w:webHidden/>
          </w:rPr>
          <w:fldChar w:fldCharType="end"/>
        </w:r>
      </w:hyperlink>
    </w:p>
    <w:p w14:paraId="14B03873" w14:textId="39F854B0" w:rsidR="009D3B33" w:rsidRDefault="006D7D4C">
      <w:pPr>
        <w:pStyle w:val="TM2"/>
        <w:rPr>
          <w:rFonts w:asciiTheme="minorHAnsi" w:eastAsiaTheme="minorEastAsia" w:hAnsiTheme="minorHAnsi" w:cstheme="minorBidi"/>
          <w:noProof/>
          <w:lang w:eastAsia="fr-FR"/>
        </w:rPr>
      </w:pPr>
      <w:hyperlink w:anchor="_Toc190693468" w:history="1">
        <w:r w:rsidR="009D3B33" w:rsidRPr="00AE4A03">
          <w:rPr>
            <w:rStyle w:val="Lienhypertexte"/>
            <w:i/>
            <w:iCs/>
            <w:noProof/>
          </w:rPr>
          <w:t>11.2.4 - Obligation relative aux pièces détachées et consommables captifs</w:t>
        </w:r>
        <w:r w:rsidR="009D3B33">
          <w:rPr>
            <w:noProof/>
            <w:webHidden/>
          </w:rPr>
          <w:tab/>
        </w:r>
        <w:r w:rsidR="009D3B33">
          <w:rPr>
            <w:noProof/>
            <w:webHidden/>
          </w:rPr>
          <w:fldChar w:fldCharType="begin"/>
        </w:r>
        <w:r w:rsidR="009D3B33">
          <w:rPr>
            <w:noProof/>
            <w:webHidden/>
          </w:rPr>
          <w:instrText xml:space="preserve"> PAGEREF _Toc190693468 \h </w:instrText>
        </w:r>
        <w:r w:rsidR="009D3B33">
          <w:rPr>
            <w:noProof/>
            <w:webHidden/>
          </w:rPr>
        </w:r>
        <w:r w:rsidR="009D3B33">
          <w:rPr>
            <w:noProof/>
            <w:webHidden/>
          </w:rPr>
          <w:fldChar w:fldCharType="separate"/>
        </w:r>
        <w:r w:rsidR="009D3B33">
          <w:rPr>
            <w:noProof/>
            <w:webHidden/>
          </w:rPr>
          <w:t>20</w:t>
        </w:r>
        <w:r w:rsidR="009D3B33">
          <w:rPr>
            <w:noProof/>
            <w:webHidden/>
          </w:rPr>
          <w:fldChar w:fldCharType="end"/>
        </w:r>
      </w:hyperlink>
    </w:p>
    <w:p w14:paraId="477246F4" w14:textId="31B61218" w:rsidR="009D3B33" w:rsidRDefault="006D7D4C">
      <w:pPr>
        <w:pStyle w:val="TM2"/>
        <w:tabs>
          <w:tab w:val="left" w:pos="660"/>
        </w:tabs>
        <w:rPr>
          <w:rFonts w:asciiTheme="minorHAnsi" w:eastAsiaTheme="minorEastAsia" w:hAnsiTheme="minorHAnsi" w:cstheme="minorBidi"/>
          <w:noProof/>
          <w:lang w:eastAsia="fr-FR"/>
        </w:rPr>
      </w:pPr>
      <w:hyperlink w:anchor="_Toc190693469" w:history="1">
        <w:r w:rsidR="009D3B33" w:rsidRPr="00AE4A03">
          <w:rPr>
            <w:rStyle w:val="Lienhypertexte"/>
            <w:rFonts w:ascii="AvenirNext LT Pro Cn" w:hAnsi="AvenirNext LT Pro Cn"/>
            <w:noProof/>
          </w:rPr>
          <w:t>11.3.</w:t>
        </w:r>
        <w:r w:rsidR="009D3B33">
          <w:rPr>
            <w:rFonts w:asciiTheme="minorHAnsi" w:eastAsiaTheme="minorEastAsia" w:hAnsiTheme="minorHAnsi" w:cstheme="minorBidi"/>
            <w:noProof/>
            <w:lang w:eastAsia="fr-FR"/>
          </w:rPr>
          <w:tab/>
        </w:r>
        <w:r w:rsidR="009D3B33" w:rsidRPr="00AE4A03">
          <w:rPr>
            <w:rStyle w:val="Lienhypertexte"/>
            <w:rFonts w:ascii="AvenirNext LT Pro Cn" w:hAnsi="AvenirNext LT Pro Cn"/>
            <w:noProof/>
          </w:rPr>
          <w:t>Maintenance</w:t>
        </w:r>
        <w:r w:rsidR="009D3B33">
          <w:rPr>
            <w:noProof/>
            <w:webHidden/>
          </w:rPr>
          <w:tab/>
        </w:r>
        <w:r w:rsidR="009D3B33">
          <w:rPr>
            <w:noProof/>
            <w:webHidden/>
          </w:rPr>
          <w:fldChar w:fldCharType="begin"/>
        </w:r>
        <w:r w:rsidR="009D3B33">
          <w:rPr>
            <w:noProof/>
            <w:webHidden/>
          </w:rPr>
          <w:instrText xml:space="preserve"> PAGEREF _Toc190693469 \h </w:instrText>
        </w:r>
        <w:r w:rsidR="009D3B33">
          <w:rPr>
            <w:noProof/>
            <w:webHidden/>
          </w:rPr>
        </w:r>
        <w:r w:rsidR="009D3B33">
          <w:rPr>
            <w:noProof/>
            <w:webHidden/>
          </w:rPr>
          <w:fldChar w:fldCharType="separate"/>
        </w:r>
        <w:r w:rsidR="009D3B33">
          <w:rPr>
            <w:noProof/>
            <w:webHidden/>
          </w:rPr>
          <w:t>20</w:t>
        </w:r>
        <w:r w:rsidR="009D3B33">
          <w:rPr>
            <w:noProof/>
            <w:webHidden/>
          </w:rPr>
          <w:fldChar w:fldCharType="end"/>
        </w:r>
      </w:hyperlink>
    </w:p>
    <w:p w14:paraId="0618DACE" w14:textId="05353096"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70" w:history="1">
        <w:r w:rsidR="009D3B33" w:rsidRPr="00AE4A03">
          <w:rPr>
            <w:rStyle w:val="Lienhypertexte"/>
            <w:b/>
            <w:noProof/>
          </w:rPr>
          <w:t>12.</w:t>
        </w:r>
        <w:r w:rsidR="009D3B33">
          <w:rPr>
            <w:rFonts w:asciiTheme="minorHAnsi" w:eastAsiaTheme="minorEastAsia" w:hAnsiTheme="minorHAnsi"/>
            <w:noProof/>
            <w:lang w:eastAsia="fr-FR"/>
          </w:rPr>
          <w:tab/>
        </w:r>
        <w:r w:rsidR="009D3B33" w:rsidRPr="00AE4A03">
          <w:rPr>
            <w:rStyle w:val="Lienhypertexte"/>
            <w:noProof/>
          </w:rPr>
          <w:t>ASSURANCE</w:t>
        </w:r>
        <w:r w:rsidR="009D3B33">
          <w:rPr>
            <w:noProof/>
            <w:webHidden/>
          </w:rPr>
          <w:tab/>
        </w:r>
        <w:r w:rsidR="009D3B33">
          <w:rPr>
            <w:noProof/>
            <w:webHidden/>
          </w:rPr>
          <w:fldChar w:fldCharType="begin"/>
        </w:r>
        <w:r w:rsidR="009D3B33">
          <w:rPr>
            <w:noProof/>
            <w:webHidden/>
          </w:rPr>
          <w:instrText xml:space="preserve"> PAGEREF _Toc190693470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028ED45A" w14:textId="74491E1F"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71" w:history="1">
        <w:r w:rsidR="009D3B33" w:rsidRPr="00AE4A03">
          <w:rPr>
            <w:rStyle w:val="Lienhypertexte"/>
            <w:b/>
            <w:noProof/>
          </w:rPr>
          <w:t>13.</w:t>
        </w:r>
        <w:r w:rsidR="009D3B33">
          <w:rPr>
            <w:rFonts w:asciiTheme="minorHAnsi" w:eastAsiaTheme="minorEastAsia" w:hAnsiTheme="minorHAnsi"/>
            <w:noProof/>
            <w:lang w:eastAsia="fr-FR"/>
          </w:rPr>
          <w:tab/>
        </w:r>
        <w:r w:rsidR="009D3B33" w:rsidRPr="00AE4A03">
          <w:rPr>
            <w:rStyle w:val="Lienhypertexte"/>
            <w:noProof/>
          </w:rPr>
          <w:t>PROTECTION DES DONNES A CARACTERE PERSONNEL</w:t>
        </w:r>
        <w:r w:rsidR="009D3B33">
          <w:rPr>
            <w:noProof/>
            <w:webHidden/>
          </w:rPr>
          <w:tab/>
        </w:r>
        <w:r w:rsidR="009D3B33">
          <w:rPr>
            <w:noProof/>
            <w:webHidden/>
          </w:rPr>
          <w:fldChar w:fldCharType="begin"/>
        </w:r>
        <w:r w:rsidR="009D3B33">
          <w:rPr>
            <w:noProof/>
            <w:webHidden/>
          </w:rPr>
          <w:instrText xml:space="preserve"> PAGEREF _Toc190693471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3C75270F" w14:textId="7DF7A30A" w:rsidR="009D3B33" w:rsidRDefault="006D7D4C">
      <w:pPr>
        <w:pStyle w:val="TM2"/>
        <w:tabs>
          <w:tab w:val="left" w:pos="880"/>
        </w:tabs>
        <w:rPr>
          <w:rFonts w:asciiTheme="minorHAnsi" w:eastAsiaTheme="minorEastAsia" w:hAnsiTheme="minorHAnsi" w:cstheme="minorBidi"/>
          <w:noProof/>
          <w:lang w:eastAsia="fr-FR"/>
        </w:rPr>
      </w:pPr>
      <w:hyperlink w:anchor="_Toc190693472" w:history="1">
        <w:r w:rsidR="009D3B33" w:rsidRPr="00AE4A03">
          <w:rPr>
            <w:rStyle w:val="Lienhypertexte"/>
            <w:rFonts w:eastAsia="Times New Roman" w:cs="Times New Roman"/>
            <w:bCs/>
            <w:iCs/>
            <w:noProof/>
            <w:lang w:val="x-none" w:eastAsia="x-none"/>
          </w:rPr>
          <w:t>13.1.</w:t>
        </w:r>
        <w:r w:rsidR="009D3B33">
          <w:rPr>
            <w:rFonts w:asciiTheme="minorHAnsi" w:eastAsiaTheme="minorEastAsia" w:hAnsiTheme="minorHAnsi" w:cstheme="minorBidi"/>
            <w:noProof/>
            <w:lang w:eastAsia="fr-FR"/>
          </w:rPr>
          <w:tab/>
        </w:r>
        <w:r w:rsidR="009D3B33" w:rsidRPr="00AE4A03">
          <w:rPr>
            <w:rStyle w:val="Lienhypertexte"/>
            <w:rFonts w:eastAsia="Times New Roman" w:cs="Times New Roman"/>
            <w:bCs/>
            <w:iCs/>
            <w:noProof/>
            <w:lang w:val="x-none" w:eastAsia="x-none"/>
          </w:rPr>
          <w:t>EXIGENCES REGLEMENTAIRES DE CONFIDENTIALITE ET SECURISATION DES DONNEES APPLICABLES AU TITULAIRE ET SES SOUS-TRAITANTS</w:t>
        </w:r>
        <w:r w:rsidR="009D3B33">
          <w:rPr>
            <w:noProof/>
            <w:webHidden/>
          </w:rPr>
          <w:tab/>
        </w:r>
        <w:r w:rsidR="009D3B33">
          <w:rPr>
            <w:noProof/>
            <w:webHidden/>
          </w:rPr>
          <w:fldChar w:fldCharType="begin"/>
        </w:r>
        <w:r w:rsidR="009D3B33">
          <w:rPr>
            <w:noProof/>
            <w:webHidden/>
          </w:rPr>
          <w:instrText xml:space="preserve"> PAGEREF _Toc190693472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7568444A" w14:textId="60E9311E"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3" w:history="1">
        <w:r w:rsidR="009D3B33" w:rsidRPr="00AE4A03">
          <w:rPr>
            <w:rStyle w:val="Lienhypertexte"/>
            <w:rFonts w:eastAsia="Calibri" w:cs="Times-Roman"/>
            <w:noProof/>
          </w:rPr>
          <w:t>13.1.1.</w:t>
        </w:r>
        <w:r w:rsidR="009D3B33">
          <w:rPr>
            <w:rFonts w:asciiTheme="minorHAnsi" w:eastAsiaTheme="minorEastAsia" w:hAnsiTheme="minorHAnsi"/>
            <w:noProof/>
            <w:lang w:eastAsia="fr-FR"/>
          </w:rPr>
          <w:tab/>
        </w:r>
        <w:r w:rsidR="009D3B33" w:rsidRPr="00AE4A03">
          <w:rPr>
            <w:rStyle w:val="Lienhypertexte"/>
            <w:rFonts w:eastAsia="Calibri" w:cs="Times-Roman"/>
            <w:noProof/>
          </w:rPr>
          <w:t>Conformité au RGI</w:t>
        </w:r>
        <w:r w:rsidR="009D3B33">
          <w:rPr>
            <w:noProof/>
            <w:webHidden/>
          </w:rPr>
          <w:tab/>
        </w:r>
        <w:r w:rsidR="009D3B33">
          <w:rPr>
            <w:noProof/>
            <w:webHidden/>
          </w:rPr>
          <w:fldChar w:fldCharType="begin"/>
        </w:r>
        <w:r w:rsidR="009D3B33">
          <w:rPr>
            <w:noProof/>
            <w:webHidden/>
          </w:rPr>
          <w:instrText xml:space="preserve"> PAGEREF _Toc190693473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3C10B38F" w14:textId="165DA6E2"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4" w:history="1">
        <w:r w:rsidR="009D3B33" w:rsidRPr="00AE4A03">
          <w:rPr>
            <w:rStyle w:val="Lienhypertexte"/>
            <w:rFonts w:eastAsia="Calibri" w:cs="Times-Roman"/>
            <w:noProof/>
          </w:rPr>
          <w:t>13.1.2.</w:t>
        </w:r>
        <w:r w:rsidR="009D3B33">
          <w:rPr>
            <w:rFonts w:asciiTheme="minorHAnsi" w:eastAsiaTheme="minorEastAsia" w:hAnsiTheme="minorHAnsi"/>
            <w:noProof/>
            <w:lang w:eastAsia="fr-FR"/>
          </w:rPr>
          <w:tab/>
        </w:r>
        <w:r w:rsidR="009D3B33" w:rsidRPr="00AE4A03">
          <w:rPr>
            <w:rStyle w:val="Lienhypertexte"/>
            <w:rFonts w:eastAsia="Calibri" w:cs="Times-Roman"/>
            <w:noProof/>
          </w:rPr>
          <w:t>Conformité au RGAA</w:t>
        </w:r>
        <w:r w:rsidR="009D3B33">
          <w:rPr>
            <w:noProof/>
            <w:webHidden/>
          </w:rPr>
          <w:tab/>
        </w:r>
        <w:r w:rsidR="009D3B33">
          <w:rPr>
            <w:noProof/>
            <w:webHidden/>
          </w:rPr>
          <w:fldChar w:fldCharType="begin"/>
        </w:r>
        <w:r w:rsidR="009D3B33">
          <w:rPr>
            <w:noProof/>
            <w:webHidden/>
          </w:rPr>
          <w:instrText xml:space="preserve"> PAGEREF _Toc190693474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67C54558" w14:textId="4170273E"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5" w:history="1">
        <w:r w:rsidR="009D3B33" w:rsidRPr="00AE4A03">
          <w:rPr>
            <w:rStyle w:val="Lienhypertexte"/>
            <w:rFonts w:eastAsia="Calibri" w:cs="Times-Roman"/>
            <w:noProof/>
          </w:rPr>
          <w:t>13.1.3.</w:t>
        </w:r>
        <w:r w:rsidR="009D3B33">
          <w:rPr>
            <w:rFonts w:asciiTheme="minorHAnsi" w:eastAsiaTheme="minorEastAsia" w:hAnsiTheme="minorHAnsi"/>
            <w:noProof/>
            <w:lang w:eastAsia="fr-FR"/>
          </w:rPr>
          <w:tab/>
        </w:r>
        <w:r w:rsidR="009D3B33" w:rsidRPr="00AE4A03">
          <w:rPr>
            <w:rStyle w:val="Lienhypertexte"/>
            <w:rFonts w:eastAsia="Calibri" w:cs="Times-Roman"/>
            <w:noProof/>
          </w:rPr>
          <w:t>Conformité au RGS</w:t>
        </w:r>
        <w:r w:rsidR="009D3B33">
          <w:rPr>
            <w:noProof/>
            <w:webHidden/>
          </w:rPr>
          <w:tab/>
        </w:r>
        <w:r w:rsidR="009D3B33">
          <w:rPr>
            <w:noProof/>
            <w:webHidden/>
          </w:rPr>
          <w:fldChar w:fldCharType="begin"/>
        </w:r>
        <w:r w:rsidR="009D3B33">
          <w:rPr>
            <w:noProof/>
            <w:webHidden/>
          </w:rPr>
          <w:instrText xml:space="preserve"> PAGEREF _Toc190693475 \h </w:instrText>
        </w:r>
        <w:r w:rsidR="009D3B33">
          <w:rPr>
            <w:noProof/>
            <w:webHidden/>
          </w:rPr>
        </w:r>
        <w:r w:rsidR="009D3B33">
          <w:rPr>
            <w:noProof/>
            <w:webHidden/>
          </w:rPr>
          <w:fldChar w:fldCharType="separate"/>
        </w:r>
        <w:r w:rsidR="009D3B33">
          <w:rPr>
            <w:noProof/>
            <w:webHidden/>
          </w:rPr>
          <w:t>21</w:t>
        </w:r>
        <w:r w:rsidR="009D3B33">
          <w:rPr>
            <w:noProof/>
            <w:webHidden/>
          </w:rPr>
          <w:fldChar w:fldCharType="end"/>
        </w:r>
      </w:hyperlink>
    </w:p>
    <w:p w14:paraId="16023D5A" w14:textId="38D8FB06"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6" w:history="1">
        <w:r w:rsidR="009D3B33" w:rsidRPr="00AE4A03">
          <w:rPr>
            <w:rStyle w:val="Lienhypertexte"/>
            <w:rFonts w:eastAsia="Calibri" w:cs="Times-Roman"/>
            <w:noProof/>
          </w:rPr>
          <w:t>13.1.4.</w:t>
        </w:r>
        <w:r w:rsidR="009D3B33">
          <w:rPr>
            <w:rFonts w:asciiTheme="minorHAnsi" w:eastAsiaTheme="minorEastAsia" w:hAnsiTheme="minorHAnsi"/>
            <w:noProof/>
            <w:lang w:eastAsia="fr-FR"/>
          </w:rPr>
          <w:tab/>
        </w:r>
        <w:r w:rsidR="009D3B33" w:rsidRPr="00AE4A03">
          <w:rPr>
            <w:rStyle w:val="Lienhypertexte"/>
            <w:rFonts w:eastAsia="Calibri" w:cs="Times-Roman"/>
            <w:noProof/>
          </w:rPr>
          <w:t>Conformité à la PSSIE</w:t>
        </w:r>
        <w:r w:rsidR="009D3B33">
          <w:rPr>
            <w:noProof/>
            <w:webHidden/>
          </w:rPr>
          <w:tab/>
        </w:r>
        <w:r w:rsidR="009D3B33">
          <w:rPr>
            <w:noProof/>
            <w:webHidden/>
          </w:rPr>
          <w:fldChar w:fldCharType="begin"/>
        </w:r>
        <w:r w:rsidR="009D3B33">
          <w:rPr>
            <w:noProof/>
            <w:webHidden/>
          </w:rPr>
          <w:instrText xml:space="preserve"> PAGEREF _Toc190693476 \h </w:instrText>
        </w:r>
        <w:r w:rsidR="009D3B33">
          <w:rPr>
            <w:noProof/>
            <w:webHidden/>
          </w:rPr>
        </w:r>
        <w:r w:rsidR="009D3B33">
          <w:rPr>
            <w:noProof/>
            <w:webHidden/>
          </w:rPr>
          <w:fldChar w:fldCharType="separate"/>
        </w:r>
        <w:r w:rsidR="009D3B33">
          <w:rPr>
            <w:noProof/>
            <w:webHidden/>
          </w:rPr>
          <w:t>22</w:t>
        </w:r>
        <w:r w:rsidR="009D3B33">
          <w:rPr>
            <w:noProof/>
            <w:webHidden/>
          </w:rPr>
          <w:fldChar w:fldCharType="end"/>
        </w:r>
      </w:hyperlink>
    </w:p>
    <w:p w14:paraId="6EF86D40" w14:textId="5E7B22A2"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7" w:history="1">
        <w:r w:rsidR="009D3B33" w:rsidRPr="00AE4A03">
          <w:rPr>
            <w:rStyle w:val="Lienhypertexte"/>
            <w:rFonts w:eastAsia="Calibri" w:cs="Times-Roman"/>
            <w:noProof/>
          </w:rPr>
          <w:t>13.1.5.</w:t>
        </w:r>
        <w:r w:rsidR="009D3B33">
          <w:rPr>
            <w:rFonts w:asciiTheme="minorHAnsi" w:eastAsiaTheme="minorEastAsia" w:hAnsiTheme="minorHAnsi"/>
            <w:noProof/>
            <w:lang w:eastAsia="fr-FR"/>
          </w:rPr>
          <w:tab/>
        </w:r>
        <w:r w:rsidR="009D3B33" w:rsidRPr="00AE4A03">
          <w:rPr>
            <w:rStyle w:val="Lienhypertexte"/>
            <w:rFonts w:eastAsia="Calibri" w:cs="Times-Roman"/>
            <w:noProof/>
          </w:rPr>
          <w:t>Conformité au règlement européen 2016/679 - RGPD</w:t>
        </w:r>
        <w:r w:rsidR="009D3B33">
          <w:rPr>
            <w:noProof/>
            <w:webHidden/>
          </w:rPr>
          <w:tab/>
        </w:r>
        <w:r w:rsidR="009D3B33">
          <w:rPr>
            <w:noProof/>
            <w:webHidden/>
          </w:rPr>
          <w:fldChar w:fldCharType="begin"/>
        </w:r>
        <w:r w:rsidR="009D3B33">
          <w:rPr>
            <w:noProof/>
            <w:webHidden/>
          </w:rPr>
          <w:instrText xml:space="preserve"> PAGEREF _Toc190693477 \h </w:instrText>
        </w:r>
        <w:r w:rsidR="009D3B33">
          <w:rPr>
            <w:noProof/>
            <w:webHidden/>
          </w:rPr>
        </w:r>
        <w:r w:rsidR="009D3B33">
          <w:rPr>
            <w:noProof/>
            <w:webHidden/>
          </w:rPr>
          <w:fldChar w:fldCharType="separate"/>
        </w:r>
        <w:r w:rsidR="009D3B33">
          <w:rPr>
            <w:noProof/>
            <w:webHidden/>
          </w:rPr>
          <w:t>22</w:t>
        </w:r>
        <w:r w:rsidR="009D3B33">
          <w:rPr>
            <w:noProof/>
            <w:webHidden/>
          </w:rPr>
          <w:fldChar w:fldCharType="end"/>
        </w:r>
      </w:hyperlink>
    </w:p>
    <w:p w14:paraId="4B841BFF" w14:textId="5B98374B" w:rsidR="009D3B33" w:rsidRDefault="006D7D4C">
      <w:pPr>
        <w:pStyle w:val="TM2"/>
        <w:tabs>
          <w:tab w:val="left" w:pos="880"/>
        </w:tabs>
        <w:rPr>
          <w:rFonts w:asciiTheme="minorHAnsi" w:eastAsiaTheme="minorEastAsia" w:hAnsiTheme="minorHAnsi" w:cstheme="minorBidi"/>
          <w:noProof/>
          <w:lang w:eastAsia="fr-FR"/>
        </w:rPr>
      </w:pPr>
      <w:hyperlink w:anchor="_Toc190693478" w:history="1">
        <w:r w:rsidR="009D3B33" w:rsidRPr="00AE4A03">
          <w:rPr>
            <w:rStyle w:val="Lienhypertexte"/>
            <w:rFonts w:eastAsia="Times New Roman" w:cs="Times New Roman"/>
            <w:bCs/>
            <w:iCs/>
            <w:noProof/>
            <w:lang w:val="x-none" w:eastAsia="x-none"/>
          </w:rPr>
          <w:t>13.2.</w:t>
        </w:r>
        <w:r w:rsidR="009D3B33">
          <w:rPr>
            <w:rFonts w:asciiTheme="minorHAnsi" w:eastAsiaTheme="minorEastAsia" w:hAnsiTheme="minorHAnsi" w:cstheme="minorBidi"/>
            <w:noProof/>
            <w:lang w:eastAsia="fr-FR"/>
          </w:rPr>
          <w:tab/>
        </w:r>
        <w:r w:rsidR="009D3B33" w:rsidRPr="00AE4A03">
          <w:rPr>
            <w:rStyle w:val="Lienhypertexte"/>
            <w:rFonts w:eastAsia="Times New Roman" w:cs="Times New Roman"/>
            <w:bCs/>
            <w:iCs/>
            <w:noProof/>
            <w:lang w:val="x-none" w:eastAsia="x-none"/>
          </w:rPr>
          <w:t>ENGAGEMENT DU TITULAIRE</w:t>
        </w:r>
        <w:r w:rsidR="009D3B33">
          <w:rPr>
            <w:noProof/>
            <w:webHidden/>
          </w:rPr>
          <w:tab/>
        </w:r>
        <w:r w:rsidR="009D3B33">
          <w:rPr>
            <w:noProof/>
            <w:webHidden/>
          </w:rPr>
          <w:fldChar w:fldCharType="begin"/>
        </w:r>
        <w:r w:rsidR="009D3B33">
          <w:rPr>
            <w:noProof/>
            <w:webHidden/>
          </w:rPr>
          <w:instrText xml:space="preserve"> PAGEREF _Toc190693478 \h </w:instrText>
        </w:r>
        <w:r w:rsidR="009D3B33">
          <w:rPr>
            <w:noProof/>
            <w:webHidden/>
          </w:rPr>
        </w:r>
        <w:r w:rsidR="009D3B33">
          <w:rPr>
            <w:noProof/>
            <w:webHidden/>
          </w:rPr>
          <w:fldChar w:fldCharType="separate"/>
        </w:r>
        <w:r w:rsidR="009D3B33">
          <w:rPr>
            <w:noProof/>
            <w:webHidden/>
          </w:rPr>
          <w:t>23</w:t>
        </w:r>
        <w:r w:rsidR="009D3B33">
          <w:rPr>
            <w:noProof/>
            <w:webHidden/>
          </w:rPr>
          <w:fldChar w:fldCharType="end"/>
        </w:r>
      </w:hyperlink>
    </w:p>
    <w:p w14:paraId="2632E745" w14:textId="59BB0254"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79" w:history="1">
        <w:r w:rsidR="009D3B33" w:rsidRPr="00AE4A03">
          <w:rPr>
            <w:rStyle w:val="Lienhypertexte"/>
            <w:rFonts w:eastAsia="Calibri" w:cs="Times-Roman"/>
            <w:noProof/>
          </w:rPr>
          <w:t>13.2.1.</w:t>
        </w:r>
        <w:r w:rsidR="009D3B33">
          <w:rPr>
            <w:rFonts w:asciiTheme="minorHAnsi" w:eastAsiaTheme="minorEastAsia" w:hAnsiTheme="minorHAnsi"/>
            <w:noProof/>
            <w:lang w:eastAsia="fr-FR"/>
          </w:rPr>
          <w:tab/>
        </w:r>
        <w:r w:rsidR="009D3B33" w:rsidRPr="00AE4A03">
          <w:rPr>
            <w:rStyle w:val="Lienhypertexte"/>
            <w:rFonts w:eastAsia="Calibri" w:cs="Times-Roman"/>
            <w:noProof/>
          </w:rPr>
          <w:t>Obligation de sécurisation des données</w:t>
        </w:r>
        <w:r w:rsidR="009D3B33">
          <w:rPr>
            <w:noProof/>
            <w:webHidden/>
          </w:rPr>
          <w:tab/>
        </w:r>
        <w:r w:rsidR="009D3B33">
          <w:rPr>
            <w:noProof/>
            <w:webHidden/>
          </w:rPr>
          <w:fldChar w:fldCharType="begin"/>
        </w:r>
        <w:r w:rsidR="009D3B33">
          <w:rPr>
            <w:noProof/>
            <w:webHidden/>
          </w:rPr>
          <w:instrText xml:space="preserve"> PAGEREF _Toc190693479 \h </w:instrText>
        </w:r>
        <w:r w:rsidR="009D3B33">
          <w:rPr>
            <w:noProof/>
            <w:webHidden/>
          </w:rPr>
        </w:r>
        <w:r w:rsidR="009D3B33">
          <w:rPr>
            <w:noProof/>
            <w:webHidden/>
          </w:rPr>
          <w:fldChar w:fldCharType="separate"/>
        </w:r>
        <w:r w:rsidR="009D3B33">
          <w:rPr>
            <w:noProof/>
            <w:webHidden/>
          </w:rPr>
          <w:t>23</w:t>
        </w:r>
        <w:r w:rsidR="009D3B33">
          <w:rPr>
            <w:noProof/>
            <w:webHidden/>
          </w:rPr>
          <w:fldChar w:fldCharType="end"/>
        </w:r>
      </w:hyperlink>
    </w:p>
    <w:p w14:paraId="09DF0F8C" w14:textId="0604FFCE"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80" w:history="1">
        <w:r w:rsidR="009D3B33" w:rsidRPr="00AE4A03">
          <w:rPr>
            <w:rStyle w:val="Lienhypertexte"/>
            <w:rFonts w:eastAsia="Calibri" w:cs="Times-Roman"/>
            <w:noProof/>
          </w:rPr>
          <w:t>13.2.2.</w:t>
        </w:r>
        <w:r w:rsidR="009D3B33">
          <w:rPr>
            <w:rFonts w:asciiTheme="minorHAnsi" w:eastAsiaTheme="minorEastAsia" w:hAnsiTheme="minorHAnsi"/>
            <w:noProof/>
            <w:lang w:eastAsia="fr-FR"/>
          </w:rPr>
          <w:tab/>
        </w:r>
        <w:r w:rsidR="009D3B33" w:rsidRPr="00AE4A03">
          <w:rPr>
            <w:rStyle w:val="Lienhypertexte"/>
            <w:rFonts w:eastAsia="Calibri" w:cs="Times-Roman"/>
            <w:noProof/>
          </w:rPr>
          <w:t>Sécurisation des prestations et du Système d’Information</w:t>
        </w:r>
        <w:r w:rsidR="009D3B33">
          <w:rPr>
            <w:noProof/>
            <w:webHidden/>
          </w:rPr>
          <w:tab/>
        </w:r>
        <w:r w:rsidR="009D3B33">
          <w:rPr>
            <w:noProof/>
            <w:webHidden/>
          </w:rPr>
          <w:fldChar w:fldCharType="begin"/>
        </w:r>
        <w:r w:rsidR="009D3B33">
          <w:rPr>
            <w:noProof/>
            <w:webHidden/>
          </w:rPr>
          <w:instrText xml:space="preserve"> PAGEREF _Toc190693480 \h </w:instrText>
        </w:r>
        <w:r w:rsidR="009D3B33">
          <w:rPr>
            <w:noProof/>
            <w:webHidden/>
          </w:rPr>
        </w:r>
        <w:r w:rsidR="009D3B33">
          <w:rPr>
            <w:noProof/>
            <w:webHidden/>
          </w:rPr>
          <w:fldChar w:fldCharType="separate"/>
        </w:r>
        <w:r w:rsidR="009D3B33">
          <w:rPr>
            <w:noProof/>
            <w:webHidden/>
          </w:rPr>
          <w:t>23</w:t>
        </w:r>
        <w:r w:rsidR="009D3B33">
          <w:rPr>
            <w:noProof/>
            <w:webHidden/>
          </w:rPr>
          <w:fldChar w:fldCharType="end"/>
        </w:r>
      </w:hyperlink>
    </w:p>
    <w:p w14:paraId="4D641A4B" w14:textId="753C6679" w:rsidR="009D3B33" w:rsidRDefault="006D7D4C">
      <w:pPr>
        <w:pStyle w:val="TM3"/>
        <w:tabs>
          <w:tab w:val="left" w:pos="1320"/>
          <w:tab w:val="right" w:leader="dot" w:pos="9054"/>
        </w:tabs>
        <w:rPr>
          <w:rFonts w:asciiTheme="minorHAnsi" w:eastAsiaTheme="minorEastAsia" w:hAnsiTheme="minorHAnsi"/>
          <w:noProof/>
          <w:lang w:eastAsia="fr-FR"/>
        </w:rPr>
      </w:pPr>
      <w:hyperlink w:anchor="_Toc190693481" w:history="1">
        <w:r w:rsidR="009D3B33" w:rsidRPr="00AE4A03">
          <w:rPr>
            <w:rStyle w:val="Lienhypertexte"/>
            <w:rFonts w:eastAsia="Calibri" w:cs="Times-Roman"/>
            <w:noProof/>
          </w:rPr>
          <w:t>13.2.3.</w:t>
        </w:r>
        <w:r w:rsidR="009D3B33">
          <w:rPr>
            <w:rFonts w:asciiTheme="minorHAnsi" w:eastAsiaTheme="minorEastAsia" w:hAnsiTheme="minorHAnsi"/>
            <w:noProof/>
            <w:lang w:eastAsia="fr-FR"/>
          </w:rPr>
          <w:tab/>
        </w:r>
        <w:r w:rsidR="009D3B33" w:rsidRPr="00AE4A03">
          <w:rPr>
            <w:rStyle w:val="Lienhypertexte"/>
            <w:rFonts w:eastAsia="Calibri" w:cs="Times-Roman"/>
            <w:noProof/>
          </w:rPr>
          <w:t>Données personnelles dans le cadre de la gestion de la relation contractuelle</w:t>
        </w:r>
        <w:r w:rsidR="009D3B33">
          <w:rPr>
            <w:noProof/>
            <w:webHidden/>
          </w:rPr>
          <w:tab/>
        </w:r>
        <w:r w:rsidR="009D3B33">
          <w:rPr>
            <w:noProof/>
            <w:webHidden/>
          </w:rPr>
          <w:fldChar w:fldCharType="begin"/>
        </w:r>
        <w:r w:rsidR="009D3B33">
          <w:rPr>
            <w:noProof/>
            <w:webHidden/>
          </w:rPr>
          <w:instrText xml:space="preserve"> PAGEREF _Toc190693481 \h </w:instrText>
        </w:r>
        <w:r w:rsidR="009D3B33">
          <w:rPr>
            <w:noProof/>
            <w:webHidden/>
          </w:rPr>
        </w:r>
        <w:r w:rsidR="009D3B33">
          <w:rPr>
            <w:noProof/>
            <w:webHidden/>
          </w:rPr>
          <w:fldChar w:fldCharType="separate"/>
        </w:r>
        <w:r w:rsidR="009D3B33">
          <w:rPr>
            <w:noProof/>
            <w:webHidden/>
          </w:rPr>
          <w:t>24</w:t>
        </w:r>
        <w:r w:rsidR="009D3B33">
          <w:rPr>
            <w:noProof/>
            <w:webHidden/>
          </w:rPr>
          <w:fldChar w:fldCharType="end"/>
        </w:r>
      </w:hyperlink>
    </w:p>
    <w:p w14:paraId="14517E13" w14:textId="2E3931D0"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82" w:history="1">
        <w:r w:rsidR="009D3B33" w:rsidRPr="00AE4A03">
          <w:rPr>
            <w:rStyle w:val="Lienhypertexte"/>
            <w:b/>
            <w:i/>
            <w:iCs/>
            <w:noProof/>
          </w:rPr>
          <w:t>14.</w:t>
        </w:r>
        <w:r w:rsidR="009D3B33">
          <w:rPr>
            <w:rFonts w:asciiTheme="minorHAnsi" w:eastAsiaTheme="minorEastAsia" w:hAnsiTheme="minorHAnsi"/>
            <w:noProof/>
            <w:lang w:eastAsia="fr-FR"/>
          </w:rPr>
          <w:tab/>
        </w:r>
        <w:r w:rsidR="009D3B33" w:rsidRPr="00AE4A03">
          <w:rPr>
            <w:rStyle w:val="Lienhypertexte"/>
            <w:noProof/>
          </w:rPr>
          <w:t>LITIGES</w:t>
        </w:r>
        <w:r w:rsidR="009D3B33">
          <w:rPr>
            <w:noProof/>
            <w:webHidden/>
          </w:rPr>
          <w:tab/>
        </w:r>
        <w:r w:rsidR="009D3B33">
          <w:rPr>
            <w:noProof/>
            <w:webHidden/>
          </w:rPr>
          <w:fldChar w:fldCharType="begin"/>
        </w:r>
        <w:r w:rsidR="009D3B33">
          <w:rPr>
            <w:noProof/>
            <w:webHidden/>
          </w:rPr>
          <w:instrText xml:space="preserve"> PAGEREF _Toc190693482 \h </w:instrText>
        </w:r>
        <w:r w:rsidR="009D3B33">
          <w:rPr>
            <w:noProof/>
            <w:webHidden/>
          </w:rPr>
        </w:r>
        <w:r w:rsidR="009D3B33">
          <w:rPr>
            <w:noProof/>
            <w:webHidden/>
          </w:rPr>
          <w:fldChar w:fldCharType="separate"/>
        </w:r>
        <w:r w:rsidR="009D3B33">
          <w:rPr>
            <w:noProof/>
            <w:webHidden/>
          </w:rPr>
          <w:t>24</w:t>
        </w:r>
        <w:r w:rsidR="009D3B33">
          <w:rPr>
            <w:noProof/>
            <w:webHidden/>
          </w:rPr>
          <w:fldChar w:fldCharType="end"/>
        </w:r>
      </w:hyperlink>
    </w:p>
    <w:p w14:paraId="155E55AE" w14:textId="59217C54" w:rsidR="009D3B33" w:rsidRDefault="006D7D4C">
      <w:pPr>
        <w:pStyle w:val="TM1"/>
        <w:tabs>
          <w:tab w:val="left" w:pos="660"/>
          <w:tab w:val="right" w:leader="dot" w:pos="9054"/>
        </w:tabs>
        <w:rPr>
          <w:rFonts w:asciiTheme="minorHAnsi" w:eastAsiaTheme="minorEastAsia" w:hAnsiTheme="minorHAnsi"/>
          <w:noProof/>
          <w:lang w:eastAsia="fr-FR"/>
        </w:rPr>
      </w:pPr>
      <w:hyperlink w:anchor="_Toc190693483" w:history="1">
        <w:r w:rsidR="009D3B33" w:rsidRPr="00AE4A03">
          <w:rPr>
            <w:rStyle w:val="Lienhypertexte"/>
            <w:b/>
            <w:i/>
            <w:iCs/>
            <w:noProof/>
          </w:rPr>
          <w:t>15.</w:t>
        </w:r>
        <w:r w:rsidR="009D3B33">
          <w:rPr>
            <w:rFonts w:asciiTheme="minorHAnsi" w:eastAsiaTheme="minorEastAsia" w:hAnsiTheme="minorHAnsi"/>
            <w:noProof/>
            <w:lang w:eastAsia="fr-FR"/>
          </w:rPr>
          <w:tab/>
        </w:r>
        <w:r w:rsidR="009D3B33" w:rsidRPr="00AE4A03">
          <w:rPr>
            <w:rStyle w:val="Lienhypertexte"/>
            <w:noProof/>
          </w:rPr>
          <w:t>DEROGATIONS AU CCAG-FCS</w:t>
        </w:r>
        <w:r w:rsidR="009D3B33">
          <w:rPr>
            <w:noProof/>
            <w:webHidden/>
          </w:rPr>
          <w:tab/>
        </w:r>
        <w:r w:rsidR="009D3B33">
          <w:rPr>
            <w:noProof/>
            <w:webHidden/>
          </w:rPr>
          <w:fldChar w:fldCharType="begin"/>
        </w:r>
        <w:r w:rsidR="009D3B33">
          <w:rPr>
            <w:noProof/>
            <w:webHidden/>
          </w:rPr>
          <w:instrText xml:space="preserve"> PAGEREF _Toc190693483 \h </w:instrText>
        </w:r>
        <w:r w:rsidR="009D3B33">
          <w:rPr>
            <w:noProof/>
            <w:webHidden/>
          </w:rPr>
        </w:r>
        <w:r w:rsidR="009D3B33">
          <w:rPr>
            <w:noProof/>
            <w:webHidden/>
          </w:rPr>
          <w:fldChar w:fldCharType="separate"/>
        </w:r>
        <w:r w:rsidR="009D3B33">
          <w:rPr>
            <w:noProof/>
            <w:webHidden/>
          </w:rPr>
          <w:t>24</w:t>
        </w:r>
        <w:r w:rsidR="009D3B33">
          <w:rPr>
            <w:noProof/>
            <w:webHidden/>
          </w:rPr>
          <w:fldChar w:fldCharType="end"/>
        </w:r>
      </w:hyperlink>
    </w:p>
    <w:p w14:paraId="6F4FF33D" w14:textId="64E5B1B5" w:rsidR="00B3398C" w:rsidRPr="0058758A" w:rsidRDefault="00B3398C" w:rsidP="00BE0EAA">
      <w:pPr>
        <w:widowControl w:val="0"/>
        <w:autoSpaceDE w:val="0"/>
        <w:autoSpaceDN w:val="0"/>
        <w:adjustRightInd w:val="0"/>
        <w:spacing w:before="14"/>
        <w:rPr>
          <w:rFonts w:cs="Arial"/>
          <w:bCs/>
          <w:sz w:val="24"/>
          <w:szCs w:val="24"/>
        </w:rPr>
      </w:pPr>
      <w:r w:rsidRPr="0058758A">
        <w:rPr>
          <w:rFonts w:cs="Arial"/>
          <w:bCs/>
          <w:sz w:val="24"/>
          <w:szCs w:val="24"/>
        </w:rPr>
        <w:fldChar w:fldCharType="end"/>
      </w:r>
    </w:p>
    <w:p w14:paraId="693369DD" w14:textId="77777777" w:rsidR="00B3398C" w:rsidRPr="0058758A" w:rsidRDefault="000222BE" w:rsidP="000222BE">
      <w:pPr>
        <w:widowControl w:val="0"/>
        <w:tabs>
          <w:tab w:val="left" w:pos="5100"/>
        </w:tabs>
        <w:autoSpaceDE w:val="0"/>
        <w:autoSpaceDN w:val="0"/>
        <w:adjustRightInd w:val="0"/>
        <w:spacing w:before="14" w:line="240" w:lineRule="exact"/>
        <w:rPr>
          <w:rFonts w:cs="Arial"/>
          <w:b/>
          <w:bCs/>
          <w:sz w:val="24"/>
          <w:szCs w:val="24"/>
        </w:rPr>
      </w:pPr>
      <w:r w:rsidRPr="0058758A">
        <w:rPr>
          <w:rFonts w:cs="Arial"/>
          <w:b/>
          <w:bCs/>
          <w:sz w:val="24"/>
          <w:szCs w:val="24"/>
        </w:rPr>
        <w:tab/>
      </w:r>
    </w:p>
    <w:p w14:paraId="74713A0B" w14:textId="77777777" w:rsidR="00B3398C" w:rsidRPr="0058758A" w:rsidRDefault="000222BE" w:rsidP="00F73FDA">
      <w:pPr>
        <w:widowControl w:val="0"/>
        <w:tabs>
          <w:tab w:val="left" w:pos="5100"/>
          <w:tab w:val="left" w:pos="6675"/>
        </w:tabs>
        <w:autoSpaceDE w:val="0"/>
        <w:autoSpaceDN w:val="0"/>
        <w:adjustRightInd w:val="0"/>
        <w:rPr>
          <w:rFonts w:cs="Arial"/>
          <w:sz w:val="24"/>
          <w:szCs w:val="24"/>
        </w:rPr>
        <w:sectPr w:rsidR="00B3398C" w:rsidRPr="0058758A" w:rsidSect="00042D7D">
          <w:footerReference w:type="even" r:id="rId9"/>
          <w:footerReference w:type="default" r:id="rId10"/>
          <w:pgSz w:w="11900" w:h="16840"/>
          <w:pgMar w:top="568" w:right="1418" w:bottom="1418" w:left="1418" w:header="720" w:footer="720" w:gutter="0"/>
          <w:cols w:space="720"/>
          <w:noEndnote/>
          <w:titlePg/>
        </w:sectPr>
      </w:pPr>
      <w:r w:rsidRPr="0058758A">
        <w:rPr>
          <w:rFonts w:cs="Arial"/>
          <w:sz w:val="24"/>
          <w:szCs w:val="24"/>
        </w:rPr>
        <w:tab/>
      </w:r>
      <w:r w:rsidR="00F73FDA" w:rsidRPr="0058758A">
        <w:rPr>
          <w:rFonts w:cs="Arial"/>
          <w:sz w:val="24"/>
          <w:szCs w:val="24"/>
        </w:rPr>
        <w:tab/>
      </w:r>
    </w:p>
    <w:p w14:paraId="36CCB461" w14:textId="77777777" w:rsidR="00B3398C" w:rsidRPr="00567B93" w:rsidRDefault="00B3398C" w:rsidP="008630D8">
      <w:pPr>
        <w:pStyle w:val="Titre1"/>
        <w:rPr>
          <w:rFonts w:ascii="AvenirNext LT Pro Cn" w:hAnsi="AvenirNext LT Pro Cn"/>
          <w:i/>
          <w:iCs/>
          <w:sz w:val="24"/>
          <w:szCs w:val="24"/>
        </w:rPr>
      </w:pPr>
      <w:bookmarkStart w:id="0" w:name="_Toc190693408"/>
      <w:r w:rsidRPr="00567B93">
        <w:rPr>
          <w:rFonts w:ascii="AvenirNext LT Pro Cn" w:hAnsi="AvenirNext LT Pro Cn"/>
          <w:sz w:val="24"/>
          <w:szCs w:val="24"/>
        </w:rPr>
        <w:lastRenderedPageBreak/>
        <w:t>OBJET</w:t>
      </w:r>
      <w:r w:rsidR="00042D7D" w:rsidRPr="00567B93">
        <w:rPr>
          <w:rFonts w:ascii="AvenirNext LT Pro Cn" w:hAnsi="AvenirNext LT Pro Cn"/>
          <w:sz w:val="24"/>
          <w:szCs w:val="24"/>
        </w:rPr>
        <w:t xml:space="preserve"> ET FORME DU MARCHE</w:t>
      </w:r>
      <w:bookmarkEnd w:id="0"/>
    </w:p>
    <w:p w14:paraId="7594BB7D" w14:textId="77777777" w:rsidR="00042D7D" w:rsidRPr="00567B93" w:rsidRDefault="00042D7D" w:rsidP="009D5209">
      <w:pPr>
        <w:pStyle w:val="Titre2"/>
        <w:numPr>
          <w:ilvl w:val="0"/>
          <w:numId w:val="0"/>
        </w:numPr>
        <w:ind w:left="360"/>
        <w:rPr>
          <w:rFonts w:ascii="AvenirNext LT Pro Cn" w:hAnsi="AvenirNext LT Pro Cn"/>
          <w:sz w:val="24"/>
          <w:szCs w:val="24"/>
        </w:rPr>
      </w:pPr>
      <w:bookmarkStart w:id="1" w:name="_Toc41990834"/>
      <w:bookmarkStart w:id="2" w:name="_Toc190693409"/>
      <w:r w:rsidRPr="00567B93">
        <w:rPr>
          <w:rFonts w:ascii="AvenirNext LT Pro Cn" w:hAnsi="AvenirNext LT Pro Cn"/>
          <w:sz w:val="24"/>
          <w:szCs w:val="24"/>
        </w:rPr>
        <w:t>1.1 - Objet du marché</w:t>
      </w:r>
      <w:bookmarkEnd w:id="1"/>
      <w:bookmarkEnd w:id="2"/>
    </w:p>
    <w:p w14:paraId="0A1EE05C" w14:textId="56123D21" w:rsidR="006D7D4C" w:rsidRPr="006D7D4C" w:rsidRDefault="006D7D4C" w:rsidP="006D7D4C">
      <w:pPr>
        <w:spacing w:after="0"/>
        <w:rPr>
          <w:rStyle w:val="lev"/>
          <w:rFonts w:ascii="AvenirNext LT Pro LightCn" w:hAnsi="AvenirNext LT Pro LightCn" w:cstheme="majorHAnsi"/>
        </w:rPr>
      </w:pPr>
      <w:bookmarkStart w:id="3" w:name="_Hlk178243161"/>
      <w:bookmarkStart w:id="4" w:name="_Toc34900470"/>
      <w:bookmarkStart w:id="5" w:name="_Toc41990835"/>
      <w:r w:rsidRPr="006D7D4C">
        <w:rPr>
          <w:rFonts w:ascii="AvenirNext LT Pro LightCn" w:eastAsia="Times New Roman" w:hAnsi="AvenirNext LT Pro LightCn" w:cstheme="majorHAnsi"/>
          <w:lang w:eastAsia="fr-FR"/>
        </w:rPr>
        <w:t xml:space="preserve">Le présent marché a pour objet l’achat de </w:t>
      </w:r>
      <w:r w:rsidRPr="006D7D4C">
        <w:rPr>
          <w:rFonts w:ascii="AvenirNext LT Pro LightCn" w:eastAsia="Times New Roman" w:hAnsi="AvenirNext LT Pro LightCn" w:cstheme="majorHAnsi"/>
          <w:b/>
          <w:bCs/>
          <w:u w:val="single"/>
          <w:lang w:eastAsia="fr-FR"/>
        </w:rPr>
        <w:t>deux équipements identiques et indépendants de culture d’embryons</w:t>
      </w:r>
      <w:r w:rsidRPr="006D7D4C">
        <w:rPr>
          <w:rFonts w:ascii="AvenirNext LT Pro LightCn" w:eastAsia="Times New Roman" w:hAnsi="AvenirNext LT Pro LightCn" w:cstheme="majorHAnsi"/>
          <w:lang w:eastAsia="fr-FR"/>
        </w:rPr>
        <w:t xml:space="preserve"> intégrant chacun un incubateur à atmosphère contrôlée (température, gaz CO</w:t>
      </w:r>
      <w:r w:rsidRPr="006D7D4C">
        <w:rPr>
          <w:rFonts w:ascii="AvenirNext LT Pro LightCn" w:eastAsia="Times New Roman" w:hAnsi="AvenirNext LT Pro LightCn" w:cstheme="majorHAnsi"/>
          <w:vertAlign w:val="subscript"/>
          <w:lang w:eastAsia="fr-FR"/>
        </w:rPr>
        <w:t>2</w:t>
      </w:r>
      <w:r w:rsidRPr="006D7D4C">
        <w:rPr>
          <w:rFonts w:ascii="AvenirNext LT Pro LightCn" w:eastAsia="Times New Roman" w:hAnsi="AvenirNext LT Pro LightCn" w:cstheme="majorHAnsi"/>
          <w:lang w:eastAsia="fr-FR"/>
        </w:rPr>
        <w:t>, O</w:t>
      </w:r>
      <w:r w:rsidRPr="006D7D4C">
        <w:rPr>
          <w:rFonts w:ascii="AvenirNext LT Pro LightCn" w:eastAsia="Times New Roman" w:hAnsi="AvenirNext LT Pro LightCn" w:cstheme="majorHAnsi"/>
          <w:vertAlign w:val="subscript"/>
          <w:lang w:eastAsia="fr-FR"/>
        </w:rPr>
        <w:t>2</w:t>
      </w:r>
      <w:r w:rsidRPr="006D7D4C">
        <w:rPr>
          <w:rFonts w:ascii="AvenirNext LT Pro LightCn" w:eastAsia="Times New Roman" w:hAnsi="AvenirNext LT Pro LightCn" w:cstheme="majorHAnsi"/>
          <w:lang w:eastAsia="fr-FR"/>
        </w:rPr>
        <w:t xml:space="preserve"> et N</w:t>
      </w:r>
      <w:r w:rsidRPr="006D7D4C">
        <w:rPr>
          <w:rFonts w:ascii="AvenirNext LT Pro LightCn" w:eastAsia="Times New Roman" w:hAnsi="AvenirNext LT Pro LightCn" w:cstheme="majorHAnsi"/>
          <w:vertAlign w:val="subscript"/>
          <w:lang w:eastAsia="fr-FR"/>
        </w:rPr>
        <w:t>2</w:t>
      </w:r>
      <w:r w:rsidRPr="006D7D4C">
        <w:rPr>
          <w:rFonts w:ascii="AvenirNext LT Pro LightCn" w:eastAsia="Times New Roman" w:hAnsi="AvenirNext LT Pro LightCn" w:cstheme="majorHAnsi"/>
          <w:lang w:eastAsia="fr-FR"/>
        </w:rPr>
        <w:t>) couplé à une capacité d’</w:t>
      </w:r>
      <w:r w:rsidRPr="006D7D4C">
        <w:rPr>
          <w:rFonts w:ascii="AvenirNext LT Pro LightCn" w:hAnsi="AvenirNext LT Pro LightCn" w:cstheme="majorHAnsi"/>
        </w:rPr>
        <w:t xml:space="preserve">imagerie automatisée permettant de suivre </w:t>
      </w:r>
      <w:r w:rsidRPr="006D7D4C">
        <w:rPr>
          <w:rStyle w:val="lev"/>
          <w:rFonts w:ascii="AvenirNext LT Pro LightCn" w:hAnsi="AvenirNext LT Pro LightCn" w:cstheme="majorHAnsi"/>
        </w:rPr>
        <w:t>en temps réel</w:t>
      </w:r>
      <w:r w:rsidRPr="006D7D4C">
        <w:rPr>
          <w:rFonts w:ascii="AvenirNext LT Pro LightCn" w:hAnsi="AvenirNext LT Pro LightCn" w:cstheme="majorHAnsi"/>
        </w:rPr>
        <w:t xml:space="preserve"> </w:t>
      </w:r>
      <w:r w:rsidRPr="006D7D4C">
        <w:rPr>
          <w:rStyle w:val="lev"/>
          <w:rFonts w:ascii="AvenirNext LT Pro LightCn" w:hAnsi="AvenirNext LT Pro LightCn" w:cstheme="majorHAnsi"/>
        </w:rPr>
        <w:t xml:space="preserve">le développement d’embryons bovins produits </w:t>
      </w:r>
      <w:r w:rsidRPr="006D7D4C">
        <w:rPr>
          <w:rStyle w:val="lev"/>
          <w:rFonts w:ascii="AvenirNext LT Pro LightCn" w:hAnsi="AvenirNext LT Pro LightCn" w:cstheme="majorHAnsi"/>
          <w:i/>
          <w:iCs/>
        </w:rPr>
        <w:t xml:space="preserve">in vitro </w:t>
      </w:r>
      <w:r w:rsidRPr="006D7D4C">
        <w:rPr>
          <w:rStyle w:val="lev"/>
          <w:rFonts w:ascii="AvenirNext LT Pro LightCn" w:hAnsi="AvenirNext LT Pro LightCn" w:cstheme="majorHAnsi"/>
        </w:rPr>
        <w:t xml:space="preserve">(système de </w:t>
      </w:r>
      <w:proofErr w:type="spellStart"/>
      <w:r w:rsidRPr="006D7D4C">
        <w:rPr>
          <w:rStyle w:val="lev"/>
          <w:rFonts w:ascii="AvenirNext LT Pro LightCn" w:hAnsi="AvenirNext LT Pro LightCn" w:cstheme="majorHAnsi"/>
        </w:rPr>
        <w:t>vidéomicroscopie</w:t>
      </w:r>
      <w:proofErr w:type="spellEnd"/>
      <w:r w:rsidRPr="006D7D4C">
        <w:rPr>
          <w:rStyle w:val="lev"/>
          <w:rFonts w:ascii="AvenirNext LT Pro LightCn" w:hAnsi="AvenirNext LT Pro LightCn" w:cstheme="majorHAnsi"/>
        </w:rPr>
        <w:t>). La culture embryonnaire devra être individuelle, c’est-à-dire : permettre de placer chaque embryon individuellement dans un micro-puits dont le milieu n’est pas partagé avec d’autres embryons ou puits. Seule l’huile peut éventuellement être commune</w:t>
      </w:r>
      <w:bookmarkStart w:id="6" w:name="_GoBack"/>
      <w:bookmarkEnd w:id="6"/>
      <w:r w:rsidRPr="006D7D4C">
        <w:rPr>
          <w:rStyle w:val="lev"/>
          <w:rFonts w:ascii="AvenirNext LT Pro LightCn" w:hAnsi="AvenirNext LT Pro LightCn" w:cstheme="majorHAnsi"/>
        </w:rPr>
        <w:t>.</w:t>
      </w:r>
    </w:p>
    <w:p w14:paraId="3B5983F9" w14:textId="495DCE6E" w:rsidR="00567B93" w:rsidRPr="00567B93" w:rsidRDefault="00567B93" w:rsidP="00567B93">
      <w:pPr>
        <w:spacing w:before="0" w:after="0"/>
        <w:contextualSpacing/>
        <w:rPr>
          <w:rFonts w:cstheme="majorHAnsi"/>
        </w:rPr>
      </w:pPr>
      <w:r w:rsidRPr="00567B93">
        <w:rPr>
          <w:rFonts w:cstheme="majorHAnsi"/>
        </w:rPr>
        <w:t xml:space="preserve">Il comprend l’achat de deux incubateurs équipés chacun d’un système de </w:t>
      </w:r>
      <w:proofErr w:type="spellStart"/>
      <w:r w:rsidRPr="00567B93">
        <w:rPr>
          <w:rFonts w:cstheme="majorHAnsi"/>
        </w:rPr>
        <w:t>vidéomicroscopie</w:t>
      </w:r>
      <w:proofErr w:type="spellEnd"/>
      <w:r w:rsidRPr="00567B93">
        <w:rPr>
          <w:rFonts w:cstheme="majorHAnsi"/>
        </w:rPr>
        <w:t xml:space="preserve"> pour la culture d’embryons de ruminants produits </w:t>
      </w:r>
      <w:r w:rsidRPr="00567B93">
        <w:rPr>
          <w:rFonts w:cstheme="majorHAnsi"/>
          <w:i/>
          <w:iCs/>
        </w:rPr>
        <w:t>in vitro</w:t>
      </w:r>
      <w:r w:rsidRPr="00567B93">
        <w:rPr>
          <w:rFonts w:cstheme="majorHAnsi"/>
        </w:rPr>
        <w:t>, incluant :</w:t>
      </w:r>
    </w:p>
    <w:p w14:paraId="7428BAC6" w14:textId="40E77867" w:rsidR="00567B93" w:rsidRPr="00567B93" w:rsidRDefault="00567B93" w:rsidP="00567B93">
      <w:pPr>
        <w:spacing w:before="0" w:after="0"/>
        <w:contextualSpacing/>
        <w:rPr>
          <w:rFonts w:cstheme="majorHAnsi"/>
        </w:rPr>
      </w:pPr>
      <w:r w:rsidRPr="00567B93">
        <w:rPr>
          <w:rFonts w:cstheme="majorHAnsi"/>
        </w:rPr>
        <w:t xml:space="preserve">- </w:t>
      </w:r>
      <w:r w:rsidRPr="00567B93">
        <w:rPr>
          <w:rFonts w:cstheme="majorHAnsi"/>
          <w:u w:val="single"/>
        </w:rPr>
        <w:t>la livraison</w:t>
      </w:r>
      <w:r w:rsidRPr="00567B93">
        <w:rPr>
          <w:rFonts w:cstheme="majorHAnsi"/>
        </w:rPr>
        <w:t xml:space="preserve"> et l’</w:t>
      </w:r>
      <w:r w:rsidRPr="00567B93">
        <w:rPr>
          <w:rFonts w:cstheme="majorHAnsi"/>
          <w:u w:val="single"/>
        </w:rPr>
        <w:t xml:space="preserve">installation des équipements </w:t>
      </w:r>
    </w:p>
    <w:p w14:paraId="59923D88" w14:textId="77777777" w:rsidR="00567B93" w:rsidRPr="00567B93" w:rsidRDefault="00567B93" w:rsidP="00567B93">
      <w:pPr>
        <w:spacing w:before="0" w:after="0"/>
        <w:contextualSpacing/>
        <w:rPr>
          <w:rFonts w:cstheme="majorHAnsi"/>
        </w:rPr>
      </w:pPr>
      <w:r w:rsidRPr="00567B93">
        <w:rPr>
          <w:rFonts w:cstheme="majorHAnsi"/>
        </w:rPr>
        <w:t xml:space="preserve">- </w:t>
      </w:r>
      <w:r w:rsidRPr="00567B93">
        <w:rPr>
          <w:rFonts w:cstheme="majorHAnsi"/>
          <w:u w:val="single"/>
        </w:rPr>
        <w:t>le logiciel d’acquisition et d’exploitation</w:t>
      </w:r>
      <w:r w:rsidRPr="00567B93">
        <w:rPr>
          <w:rFonts w:cstheme="majorHAnsi"/>
        </w:rPr>
        <w:t xml:space="preserve"> (visionnage et/ou annotation) dédié.</w:t>
      </w:r>
    </w:p>
    <w:p w14:paraId="5A4F7122" w14:textId="77777777" w:rsidR="00567B93" w:rsidRPr="00567B93" w:rsidRDefault="00567B93" w:rsidP="00567B93">
      <w:pPr>
        <w:spacing w:before="0" w:after="0"/>
        <w:contextualSpacing/>
        <w:rPr>
          <w:rFonts w:cstheme="majorHAnsi"/>
          <w:b/>
          <w:i/>
        </w:rPr>
      </w:pPr>
      <w:r w:rsidRPr="00567B93">
        <w:rPr>
          <w:rFonts w:cstheme="majorHAnsi"/>
          <w:b/>
          <w:i/>
        </w:rPr>
        <w:t xml:space="preserve"> (L’ensemble, connecté et permettant un accès à distance des données générées).</w:t>
      </w:r>
    </w:p>
    <w:p w14:paraId="34B40051" w14:textId="77777777" w:rsidR="00567B93" w:rsidRPr="00567B93" w:rsidRDefault="00567B93" w:rsidP="00567B93">
      <w:pPr>
        <w:spacing w:before="0" w:after="0"/>
        <w:contextualSpacing/>
        <w:rPr>
          <w:rFonts w:cstheme="majorHAnsi"/>
        </w:rPr>
      </w:pPr>
      <w:r w:rsidRPr="00567B93">
        <w:rPr>
          <w:rFonts w:cstheme="majorHAnsi"/>
        </w:rPr>
        <w:t xml:space="preserve">- </w:t>
      </w:r>
      <w:bookmarkStart w:id="7" w:name="_Hlk188870866"/>
      <w:r w:rsidRPr="00567B93">
        <w:rPr>
          <w:rFonts w:cstheme="majorHAnsi"/>
        </w:rPr>
        <w:t xml:space="preserve">la </w:t>
      </w:r>
      <w:r w:rsidRPr="00567B93">
        <w:rPr>
          <w:rFonts w:cstheme="majorHAnsi"/>
          <w:u w:val="single"/>
        </w:rPr>
        <w:t>formation des utilisateurs</w:t>
      </w:r>
      <w:r w:rsidRPr="00567B93">
        <w:rPr>
          <w:rFonts w:cstheme="majorHAnsi"/>
        </w:rPr>
        <w:t xml:space="preserve"> au maniement des appareils et du logiciel d’exploitation</w:t>
      </w:r>
      <w:bookmarkEnd w:id="7"/>
      <w:r w:rsidRPr="00567B93">
        <w:rPr>
          <w:rFonts w:cstheme="majorHAnsi"/>
        </w:rPr>
        <w:t>.</w:t>
      </w:r>
    </w:p>
    <w:p w14:paraId="787CEA88" w14:textId="77777777" w:rsidR="00567B93" w:rsidRPr="00567B93" w:rsidRDefault="00567B93" w:rsidP="00567B93">
      <w:pPr>
        <w:spacing w:before="0" w:after="0"/>
        <w:contextualSpacing/>
        <w:rPr>
          <w:rFonts w:cstheme="majorHAnsi"/>
        </w:rPr>
      </w:pPr>
      <w:r w:rsidRPr="00567B93">
        <w:rPr>
          <w:rFonts w:cstheme="majorHAnsi"/>
        </w:rPr>
        <w:t xml:space="preserve">- </w:t>
      </w:r>
      <w:r w:rsidRPr="00567B93">
        <w:rPr>
          <w:rFonts w:cstheme="majorHAnsi"/>
          <w:u w:val="single"/>
        </w:rPr>
        <w:t>la garantie contractuelle</w:t>
      </w:r>
      <w:r w:rsidRPr="00567B93">
        <w:rPr>
          <w:rFonts w:cstheme="majorHAnsi"/>
        </w:rPr>
        <w:t xml:space="preserve"> et </w:t>
      </w:r>
      <w:r w:rsidRPr="00567B93">
        <w:rPr>
          <w:rFonts w:cstheme="majorHAnsi"/>
          <w:u w:val="single"/>
        </w:rPr>
        <w:t>l’accès au service après-vente</w:t>
      </w:r>
    </w:p>
    <w:p w14:paraId="6B3E4BB4" w14:textId="77777777" w:rsidR="00567B93" w:rsidRPr="00567B93" w:rsidRDefault="00567B93" w:rsidP="00567B93">
      <w:pPr>
        <w:pStyle w:val="Corpsdetexte"/>
        <w:spacing w:before="0" w:after="0"/>
        <w:contextualSpacing/>
        <w:rPr>
          <w:rFonts w:cstheme="majorHAnsi"/>
        </w:rPr>
      </w:pPr>
      <w:r w:rsidRPr="00567B93">
        <w:rPr>
          <w:rFonts w:cstheme="majorHAnsi"/>
        </w:rPr>
        <w:t xml:space="preserve">- </w:t>
      </w:r>
      <w:r w:rsidRPr="00567B93">
        <w:rPr>
          <w:rFonts w:cstheme="majorHAnsi"/>
          <w:u w:val="single"/>
        </w:rPr>
        <w:t xml:space="preserve">Le contrat de maintenance préventive annuelle intégré </w:t>
      </w:r>
      <w:r w:rsidRPr="00567B93">
        <w:rPr>
          <w:rFonts w:cstheme="majorHAnsi"/>
        </w:rPr>
        <w:t xml:space="preserve">à l’achat de l’équipement, pour la première année. </w:t>
      </w:r>
    </w:p>
    <w:p w14:paraId="4FEB3299" w14:textId="77777777" w:rsidR="00567B93" w:rsidRPr="00567B93" w:rsidRDefault="00567B93" w:rsidP="00567B93">
      <w:pPr>
        <w:pStyle w:val="Corpsdetexte"/>
        <w:spacing w:before="0" w:after="0"/>
        <w:contextualSpacing/>
        <w:rPr>
          <w:rFonts w:cstheme="majorHAnsi"/>
        </w:rPr>
      </w:pPr>
    </w:p>
    <w:p w14:paraId="0D00FB51" w14:textId="77777777" w:rsidR="00567B93" w:rsidRPr="00567B93" w:rsidRDefault="00567B93" w:rsidP="00567B93">
      <w:pPr>
        <w:pStyle w:val="Corpsdetexte"/>
        <w:spacing w:before="0" w:after="0"/>
        <w:contextualSpacing/>
        <w:rPr>
          <w:rFonts w:cstheme="majorHAnsi"/>
        </w:rPr>
      </w:pPr>
      <w:r w:rsidRPr="00567B93">
        <w:rPr>
          <w:rFonts w:cstheme="majorHAnsi"/>
        </w:rPr>
        <w:t>L’ensemble de ces prestations seront chiffrés dans l’AE-CCP et feront l’objet d’un coût global et forfaitaire.</w:t>
      </w:r>
    </w:p>
    <w:p w14:paraId="79B5FCD5" w14:textId="77777777" w:rsidR="00567B93" w:rsidRPr="00567B93" w:rsidRDefault="00567B93" w:rsidP="00567B93">
      <w:pPr>
        <w:pStyle w:val="Corpsdetexte"/>
        <w:spacing w:before="0" w:after="0"/>
        <w:contextualSpacing/>
        <w:rPr>
          <w:rFonts w:cstheme="majorHAnsi"/>
        </w:rPr>
      </w:pPr>
      <w:r w:rsidRPr="00567B93">
        <w:rPr>
          <w:rFonts w:cstheme="majorHAnsi"/>
        </w:rPr>
        <w:t>Le détail des coûts sera indiqué dans l’offre financière du prestataire y compris pour chaque PSE facultative proposée.</w:t>
      </w:r>
    </w:p>
    <w:p w14:paraId="55B1703D" w14:textId="77CFABDE" w:rsidR="00567B93" w:rsidRPr="00567B93" w:rsidRDefault="00567B93" w:rsidP="00567B93">
      <w:pPr>
        <w:suppressAutoHyphens/>
        <w:spacing w:before="0" w:after="0"/>
        <w:contextualSpacing/>
        <w:rPr>
          <w:rFonts w:cstheme="minorHAnsi"/>
        </w:rPr>
      </w:pPr>
      <w:r w:rsidRPr="00567B93">
        <w:rPr>
          <w:rFonts w:cstheme="majorHAnsi"/>
        </w:rPr>
        <w:t>Les spécifications techniques attendues sont détaillées dans le cahier des charges techniques</w:t>
      </w:r>
      <w:r>
        <w:rPr>
          <w:rFonts w:cstheme="majorHAnsi"/>
        </w:rPr>
        <w:t xml:space="preserve"> joint en annexe de l’AE-CCP</w:t>
      </w:r>
      <w:r w:rsidRPr="00567B93">
        <w:rPr>
          <w:rFonts w:cstheme="majorHAnsi"/>
        </w:rPr>
        <w:t>;</w:t>
      </w:r>
    </w:p>
    <w:p w14:paraId="0DADC874" w14:textId="6EECFFB7" w:rsidR="00567B93" w:rsidRDefault="00567B93" w:rsidP="00567B93">
      <w:pPr>
        <w:rPr>
          <w:i/>
        </w:rPr>
      </w:pPr>
      <w:r w:rsidRPr="00567B93">
        <w:rPr>
          <w:rFonts w:cstheme="minorHAnsi"/>
          <w:i/>
        </w:rPr>
        <w:t xml:space="preserve">Code CPV  </w:t>
      </w:r>
      <w:r w:rsidRPr="00567B93">
        <w:rPr>
          <w:i/>
        </w:rPr>
        <w:t xml:space="preserve">33152000-0 </w:t>
      </w:r>
      <w:r w:rsidR="009D3B33">
        <w:rPr>
          <w:i/>
        </w:rPr>
        <w:t xml:space="preserve">/ </w:t>
      </w:r>
      <w:r w:rsidRPr="00567B93">
        <w:rPr>
          <w:i/>
        </w:rPr>
        <w:t>38510000-3.</w:t>
      </w:r>
    </w:p>
    <w:p w14:paraId="030FB42F" w14:textId="4FF8B453" w:rsidR="00042D7D" w:rsidRPr="004A011E" w:rsidRDefault="00042D7D" w:rsidP="004A011E">
      <w:pPr>
        <w:pStyle w:val="Titre2"/>
        <w:numPr>
          <w:ilvl w:val="0"/>
          <w:numId w:val="0"/>
        </w:numPr>
        <w:ind w:left="360"/>
        <w:rPr>
          <w:rFonts w:ascii="AvenirNext LT Pro Cn" w:hAnsi="AvenirNext LT Pro Cn"/>
          <w:sz w:val="24"/>
          <w:szCs w:val="24"/>
        </w:rPr>
      </w:pPr>
      <w:bookmarkStart w:id="8" w:name="_Toc190693410"/>
      <w:r w:rsidRPr="004A011E">
        <w:rPr>
          <w:rFonts w:ascii="AvenirNext LT Pro Cn" w:hAnsi="AvenirNext LT Pro Cn"/>
          <w:sz w:val="24"/>
          <w:szCs w:val="24"/>
        </w:rPr>
        <w:t>1.2. – Décomposition en lots</w:t>
      </w:r>
      <w:bookmarkEnd w:id="3"/>
      <w:r w:rsidRPr="004A011E">
        <w:rPr>
          <w:rFonts w:ascii="AvenirNext LT Pro Cn" w:hAnsi="AvenirNext LT Pro Cn"/>
          <w:sz w:val="24"/>
          <w:szCs w:val="24"/>
        </w:rPr>
        <w:t>/Tranches/Options/Prestations Supplémentaires Eventuelles</w:t>
      </w:r>
      <w:bookmarkEnd w:id="4"/>
      <w:r w:rsidRPr="004A011E">
        <w:rPr>
          <w:rFonts w:ascii="AvenirNext LT Pro Cn" w:hAnsi="AvenirNext LT Pro Cn"/>
          <w:sz w:val="24"/>
          <w:szCs w:val="24"/>
        </w:rPr>
        <w:t>/Variantes</w:t>
      </w:r>
      <w:bookmarkEnd w:id="5"/>
      <w:bookmarkEnd w:id="8"/>
    </w:p>
    <w:p w14:paraId="0C80143E" w14:textId="77777777" w:rsidR="00042D7D" w:rsidRPr="0058758A" w:rsidRDefault="00042D7D" w:rsidP="00042D7D">
      <w:pPr>
        <w:keepNext/>
        <w:spacing w:before="240" w:after="60"/>
        <w:ind w:firstLine="1560"/>
        <w:outlineLvl w:val="1"/>
        <w:rPr>
          <w:rFonts w:cs="Arial"/>
          <w:i/>
          <w:iCs/>
          <w:color w:val="00A6A3"/>
        </w:rPr>
      </w:pPr>
      <w:bookmarkStart w:id="9" w:name="_Toc34900471"/>
      <w:bookmarkStart w:id="10" w:name="_Toc41990836"/>
      <w:bookmarkStart w:id="11" w:name="_Toc190693411"/>
      <w:r w:rsidRPr="0058758A">
        <w:rPr>
          <w:rFonts w:cs="Arial"/>
          <w:i/>
          <w:iCs/>
          <w:color w:val="00A6A3"/>
        </w:rPr>
        <w:t>Article 1.2.1 – Décomposition en lots</w:t>
      </w:r>
      <w:bookmarkEnd w:id="9"/>
      <w:bookmarkEnd w:id="10"/>
      <w:bookmarkEnd w:id="11"/>
    </w:p>
    <w:p w14:paraId="2895459A" w14:textId="77777777" w:rsidR="00042D7D" w:rsidRPr="0058758A" w:rsidRDefault="00042D7D" w:rsidP="00042D7D">
      <w:pPr>
        <w:keepNext/>
        <w:spacing w:before="240" w:after="60"/>
        <w:outlineLvl w:val="1"/>
        <w:rPr>
          <w:rFonts w:cs="Arial"/>
          <w:iCs/>
        </w:rPr>
      </w:pPr>
      <w:bookmarkStart w:id="12" w:name="_Toc97131969"/>
      <w:bookmarkStart w:id="13" w:name="_Toc97644137"/>
      <w:bookmarkStart w:id="14" w:name="_Toc135996141"/>
      <w:bookmarkStart w:id="15" w:name="_Toc163483206"/>
      <w:bookmarkStart w:id="16" w:name="_Toc190693412"/>
      <w:bookmarkStart w:id="17" w:name="_Toc34900472"/>
      <w:bookmarkStart w:id="18" w:name="_Toc38967283"/>
      <w:bookmarkStart w:id="19" w:name="_Toc39657581"/>
      <w:bookmarkStart w:id="20" w:name="_Toc41990837"/>
      <w:bookmarkStart w:id="21" w:name="_Toc87260664"/>
      <w:bookmarkStart w:id="22" w:name="_Toc87279183"/>
      <w:bookmarkStart w:id="23" w:name="_Toc87369900"/>
      <w:bookmarkStart w:id="24" w:name="_Toc87870631"/>
      <w:bookmarkStart w:id="25" w:name="_Toc88213004"/>
      <w:bookmarkStart w:id="26" w:name="_Toc89357106"/>
      <w:bookmarkStart w:id="27" w:name="_Toc89686455"/>
      <w:r w:rsidRPr="0058758A">
        <w:rPr>
          <w:rFonts w:cs="Arial"/>
          <w:iCs/>
        </w:rPr>
        <w:t>Les prestations sont dévolues en lot unique.</w:t>
      </w:r>
      <w:bookmarkEnd w:id="12"/>
      <w:bookmarkEnd w:id="13"/>
      <w:bookmarkEnd w:id="14"/>
      <w:bookmarkEnd w:id="15"/>
      <w:bookmarkEnd w:id="16"/>
      <w:r w:rsidRPr="0058758A">
        <w:rPr>
          <w:rFonts w:cs="Arial"/>
          <w:iCs/>
        </w:rPr>
        <w:t xml:space="preserve"> </w:t>
      </w:r>
      <w:bookmarkEnd w:id="17"/>
      <w:bookmarkEnd w:id="18"/>
      <w:bookmarkEnd w:id="19"/>
      <w:bookmarkEnd w:id="20"/>
      <w:bookmarkEnd w:id="21"/>
      <w:bookmarkEnd w:id="22"/>
      <w:bookmarkEnd w:id="23"/>
      <w:bookmarkEnd w:id="24"/>
      <w:bookmarkEnd w:id="25"/>
      <w:bookmarkEnd w:id="26"/>
      <w:bookmarkEnd w:id="27"/>
    </w:p>
    <w:p w14:paraId="719F1A83" w14:textId="595FAD7E" w:rsidR="00042D7D" w:rsidRPr="0058758A" w:rsidRDefault="00042D7D" w:rsidP="00042D7D">
      <w:pPr>
        <w:keepNext/>
        <w:spacing w:before="240" w:after="60"/>
        <w:ind w:firstLine="1560"/>
        <w:outlineLvl w:val="1"/>
        <w:rPr>
          <w:rFonts w:cs="Arial"/>
          <w:i/>
          <w:iCs/>
          <w:color w:val="00A6A3"/>
        </w:rPr>
      </w:pPr>
      <w:bookmarkStart w:id="28" w:name="_Toc34900473"/>
      <w:bookmarkStart w:id="29" w:name="_Toc41990838"/>
      <w:bookmarkStart w:id="30" w:name="_Toc190693413"/>
      <w:r w:rsidRPr="0058758A">
        <w:rPr>
          <w:rFonts w:cs="Arial"/>
          <w:i/>
          <w:iCs/>
          <w:color w:val="00A6A3"/>
        </w:rPr>
        <w:t>Article 1.2.2 – Décomposition en tranches</w:t>
      </w:r>
      <w:bookmarkEnd w:id="28"/>
      <w:bookmarkEnd w:id="29"/>
      <w:bookmarkEnd w:id="30"/>
    </w:p>
    <w:p w14:paraId="468F9596" w14:textId="2755EB01" w:rsidR="006035FD" w:rsidRPr="0058758A" w:rsidRDefault="006035FD" w:rsidP="006035FD">
      <w:pPr>
        <w:keepNext/>
        <w:spacing w:before="240" w:after="60"/>
        <w:outlineLvl w:val="1"/>
        <w:rPr>
          <w:rFonts w:cs="Arial"/>
          <w:iCs/>
        </w:rPr>
      </w:pPr>
      <w:bookmarkStart w:id="31" w:name="_Toc190693414"/>
      <w:r w:rsidRPr="0058758A">
        <w:rPr>
          <w:rFonts w:cs="Arial"/>
          <w:iCs/>
        </w:rPr>
        <w:t>Sans objet</w:t>
      </w:r>
      <w:bookmarkEnd w:id="31"/>
      <w:r w:rsidRPr="0058758A">
        <w:rPr>
          <w:rFonts w:cs="Arial"/>
          <w:iCs/>
        </w:rPr>
        <w:t xml:space="preserve"> </w:t>
      </w:r>
    </w:p>
    <w:p w14:paraId="2888EBB3" w14:textId="77777777" w:rsidR="00042D7D" w:rsidRPr="0058758A" w:rsidRDefault="00042D7D" w:rsidP="00042D7D">
      <w:pPr>
        <w:keepNext/>
        <w:spacing w:before="240" w:after="60"/>
        <w:ind w:firstLine="1560"/>
        <w:outlineLvl w:val="1"/>
        <w:rPr>
          <w:rFonts w:cs="Arial"/>
          <w:i/>
          <w:iCs/>
          <w:color w:val="00A6A3"/>
        </w:rPr>
      </w:pPr>
      <w:bookmarkStart w:id="32" w:name="_Toc34900475"/>
      <w:bookmarkStart w:id="33" w:name="_Toc41990840"/>
      <w:bookmarkStart w:id="34" w:name="_Toc190693415"/>
      <w:r w:rsidRPr="0058758A">
        <w:rPr>
          <w:rFonts w:cs="Arial"/>
          <w:i/>
          <w:iCs/>
          <w:color w:val="00A6A3"/>
        </w:rPr>
        <w:t>Article 1.2.3 – Options</w:t>
      </w:r>
      <w:bookmarkEnd w:id="32"/>
      <w:bookmarkEnd w:id="33"/>
      <w:bookmarkEnd w:id="34"/>
    </w:p>
    <w:p w14:paraId="27C7007B" w14:textId="77777777" w:rsidR="003F4F96" w:rsidRPr="0058758A" w:rsidRDefault="003F4F96" w:rsidP="00072C1C">
      <w:pPr>
        <w:pStyle w:val="Default"/>
        <w:spacing w:before="120" w:after="120"/>
        <w:jc w:val="both"/>
        <w:rPr>
          <w:rFonts w:ascii="AvenirNext LT Pro Cn" w:hAnsi="AvenirNext LT Pro Cn" w:cstheme="minorHAnsi"/>
          <w:sz w:val="22"/>
          <w:szCs w:val="22"/>
        </w:rPr>
      </w:pPr>
      <w:bookmarkStart w:id="35" w:name="_Toc34900477"/>
      <w:bookmarkStart w:id="36" w:name="_Toc41990842"/>
      <w:r w:rsidRPr="0058758A">
        <w:rPr>
          <w:rFonts w:ascii="AvenirNext LT Pro Cn" w:hAnsi="AvenirNext LT Pro Cn" w:cstheme="minorHAnsi"/>
          <w:sz w:val="22"/>
          <w:szCs w:val="22"/>
        </w:rPr>
        <w:t xml:space="preserve">Sans objet </w:t>
      </w:r>
    </w:p>
    <w:p w14:paraId="4F853FC0" w14:textId="202F7BD6" w:rsidR="00042D7D" w:rsidRDefault="00042D7D" w:rsidP="00042D7D">
      <w:pPr>
        <w:keepNext/>
        <w:spacing w:before="240" w:after="60"/>
        <w:ind w:firstLine="1560"/>
        <w:outlineLvl w:val="1"/>
        <w:rPr>
          <w:rFonts w:cs="Arial"/>
          <w:i/>
          <w:iCs/>
          <w:color w:val="00A6A3"/>
        </w:rPr>
      </w:pPr>
      <w:bookmarkStart w:id="37" w:name="_Toc190693416"/>
      <w:r w:rsidRPr="0058758A">
        <w:rPr>
          <w:rFonts w:cs="Arial"/>
          <w:i/>
          <w:iCs/>
          <w:color w:val="00A6A3"/>
        </w:rPr>
        <w:t>Article 1.2.4 – Prestations Supplémentaires Eventuelles (PSE)</w:t>
      </w:r>
      <w:bookmarkEnd w:id="35"/>
      <w:bookmarkEnd w:id="36"/>
      <w:bookmarkEnd w:id="37"/>
    </w:p>
    <w:p w14:paraId="58AE8500" w14:textId="77777777" w:rsidR="004A011E" w:rsidRDefault="004A011E" w:rsidP="00042D7D">
      <w:pPr>
        <w:keepNext/>
        <w:spacing w:before="240" w:after="60"/>
        <w:ind w:firstLine="1560"/>
        <w:outlineLvl w:val="1"/>
        <w:rPr>
          <w:rFonts w:cs="Arial"/>
          <w:i/>
          <w:iCs/>
          <w:color w:val="00A6A3"/>
        </w:rPr>
      </w:pPr>
    </w:p>
    <w:p w14:paraId="658F5F8B" w14:textId="77777777" w:rsidR="00567B93" w:rsidRPr="00FF5927" w:rsidRDefault="00567B93" w:rsidP="00567B93">
      <w:pPr>
        <w:spacing w:before="0" w:after="0"/>
        <w:contextualSpacing/>
        <w:rPr>
          <w:u w:val="single"/>
        </w:rPr>
      </w:pPr>
      <w:bookmarkStart w:id="38" w:name="_Toc34900479"/>
      <w:bookmarkStart w:id="39" w:name="_Toc41990844"/>
      <w:r w:rsidRPr="00FF5927">
        <w:rPr>
          <w:u w:val="single"/>
        </w:rPr>
        <w:t>PSE facultatives sont les suivantes :</w:t>
      </w:r>
    </w:p>
    <w:p w14:paraId="721FF0E6" w14:textId="77777777" w:rsidR="00567B93" w:rsidRPr="005A5861" w:rsidRDefault="00567B93" w:rsidP="00567B93">
      <w:pPr>
        <w:spacing w:before="0" w:after="0"/>
        <w:contextualSpacing/>
      </w:pPr>
      <w:r w:rsidRPr="005A5861">
        <w:t>PSE 1 : 1</w:t>
      </w:r>
      <w:r w:rsidRPr="005A5861">
        <w:rPr>
          <w:vertAlign w:val="superscript"/>
        </w:rPr>
        <w:t xml:space="preserve"> </w:t>
      </w:r>
      <w:r w:rsidRPr="005A5861">
        <w:t xml:space="preserve">année supplémentaire de maintenance préventive </w:t>
      </w:r>
    </w:p>
    <w:p w14:paraId="4E698BF5" w14:textId="77777777" w:rsidR="00567B93" w:rsidRPr="005A5861" w:rsidRDefault="00567B93" w:rsidP="00567B93">
      <w:pPr>
        <w:spacing w:before="0" w:after="0"/>
        <w:contextualSpacing/>
      </w:pPr>
      <w:r w:rsidRPr="005A5861">
        <w:t>PSE 2 : 2 années supplémentaires de maintenance préventive</w:t>
      </w:r>
    </w:p>
    <w:p w14:paraId="422B1F21" w14:textId="77777777" w:rsidR="00567B93" w:rsidRPr="005A5861" w:rsidRDefault="00567B93" w:rsidP="00567B93">
      <w:pPr>
        <w:spacing w:before="0" w:after="0"/>
        <w:contextualSpacing/>
      </w:pPr>
      <w:r w:rsidRPr="005A5861">
        <w:t>PSE 3 : 3 années supplémentaires de maintenance préventive</w:t>
      </w:r>
    </w:p>
    <w:p w14:paraId="0D2990E4" w14:textId="12512353" w:rsidR="00567B93" w:rsidRPr="003840C3" w:rsidRDefault="00567B93" w:rsidP="003840C3">
      <w:pPr>
        <w:rPr>
          <w:rFonts w:ascii="AvenirNext LT Pro LightCn" w:hAnsi="AvenirNext LT Pro LightCn"/>
        </w:rPr>
      </w:pPr>
      <w:r w:rsidRPr="005A5861">
        <w:t xml:space="preserve">Le niveau de maintenance proposé sera identique à celui </w:t>
      </w:r>
      <w:proofErr w:type="gramStart"/>
      <w:r w:rsidRPr="005A5861">
        <w:t>de la 1</w:t>
      </w:r>
      <w:r w:rsidRPr="005A5861">
        <w:rPr>
          <w:vertAlign w:val="superscript"/>
        </w:rPr>
        <w:t>ère</w:t>
      </w:r>
      <w:r w:rsidRPr="005A5861">
        <w:t xml:space="preserve"> année </w:t>
      </w:r>
      <w:r>
        <w:t>intégré</w:t>
      </w:r>
      <w:proofErr w:type="gramEnd"/>
      <w:r>
        <w:t xml:space="preserve"> à l’achat de l’équipement </w:t>
      </w:r>
      <w:r w:rsidRPr="005A5861">
        <w:t>et indiquera les informations</w:t>
      </w:r>
      <w:r w:rsidR="003840C3">
        <w:t xml:space="preserve"> telles que </w:t>
      </w:r>
      <w:r w:rsidR="003840C3" w:rsidRPr="003840C3">
        <w:rPr>
          <w:rFonts w:ascii="AvenirNext LT Pro LightCn" w:hAnsi="AvenirNext LT Pro LightCn"/>
        </w:rPr>
        <w:t xml:space="preserve">les </w:t>
      </w:r>
      <w:r w:rsidR="003840C3" w:rsidRPr="003840C3">
        <w:rPr>
          <w:rFonts w:ascii="AvenirNext LT Pro LightCn" w:hAnsi="AvenirNext LT Pro LightCn" w:cstheme="majorHAnsi"/>
        </w:rPr>
        <w:t>opérations effectuées,</w:t>
      </w:r>
      <w:r w:rsidR="003840C3">
        <w:rPr>
          <w:rFonts w:ascii="AvenirNext LT Pro LightCn" w:hAnsi="AvenirNext LT Pro LightCn" w:cstheme="majorHAnsi"/>
        </w:rPr>
        <w:t xml:space="preserve"> la</w:t>
      </w:r>
      <w:r w:rsidR="003840C3" w:rsidRPr="003840C3">
        <w:rPr>
          <w:rFonts w:ascii="AvenirNext LT Pro LightCn" w:hAnsi="AvenirNext LT Pro LightCn" w:cstheme="majorHAnsi"/>
        </w:rPr>
        <w:t xml:space="preserve"> durée d’immobilisation … pour chacune des </w:t>
      </w:r>
      <w:r w:rsidR="003840C3">
        <w:rPr>
          <w:rFonts w:ascii="AvenirNext LT Pro LightCn" w:hAnsi="AvenirNext LT Pro LightCn" w:cstheme="majorHAnsi"/>
        </w:rPr>
        <w:t>3</w:t>
      </w:r>
      <w:r w:rsidR="003840C3" w:rsidRPr="003840C3">
        <w:rPr>
          <w:rFonts w:ascii="AvenirNext LT Pro LightCn" w:hAnsi="AvenirNext LT Pro LightCn" w:cstheme="majorHAnsi"/>
        </w:rPr>
        <w:t xml:space="preserve"> années</w:t>
      </w:r>
      <w:r w:rsidR="003840C3">
        <w:rPr>
          <w:rFonts w:ascii="AvenirNext LT Pro LightCn" w:hAnsi="AvenirNext LT Pro LightCn" w:cstheme="majorHAnsi"/>
        </w:rPr>
        <w:t xml:space="preserve"> supplémentaires</w:t>
      </w:r>
      <w:r w:rsidR="003840C3">
        <w:rPr>
          <w:rFonts w:ascii="AvenirNext LT Pro LightCn" w:hAnsi="AvenirNext LT Pro LightCn"/>
        </w:rPr>
        <w:t>.</w:t>
      </w:r>
    </w:p>
    <w:p w14:paraId="0EA833DA" w14:textId="7003A5F9" w:rsidR="00567B93" w:rsidRDefault="00567B93" w:rsidP="00567B93">
      <w:pPr>
        <w:contextualSpacing/>
        <w:rPr>
          <w:rFonts w:cstheme="majorHAnsi"/>
        </w:rPr>
      </w:pPr>
      <w:r>
        <w:rPr>
          <w:rFonts w:cstheme="majorHAnsi"/>
        </w:rPr>
        <w:lastRenderedPageBreak/>
        <w:t>L</w:t>
      </w:r>
      <w:r w:rsidRPr="005A5861">
        <w:rPr>
          <w:rFonts w:cstheme="majorHAnsi"/>
        </w:rPr>
        <w:t xml:space="preserve">’intégralité des coûts (main d’œuvre, matériel, frais de déplacement, …) </w:t>
      </w:r>
      <w:r>
        <w:rPr>
          <w:rFonts w:cstheme="majorHAnsi"/>
        </w:rPr>
        <w:t>sera indiqué</w:t>
      </w:r>
      <w:r w:rsidR="006F5A60">
        <w:rPr>
          <w:rFonts w:cstheme="majorHAnsi"/>
        </w:rPr>
        <w:t>e</w:t>
      </w:r>
      <w:r w:rsidRPr="005A5861">
        <w:rPr>
          <w:rFonts w:cstheme="majorHAnsi"/>
        </w:rPr>
        <w:t xml:space="preserve"> pour chacune des 3 années supplémentaires et sera réputé ferme à l’issue de ce marché</w:t>
      </w:r>
    </w:p>
    <w:p w14:paraId="6905D053" w14:textId="77777777" w:rsidR="00567B93" w:rsidRPr="005A5861" w:rsidRDefault="00567B93" w:rsidP="00567B93">
      <w:pPr>
        <w:contextualSpacing/>
        <w:rPr>
          <w:rFonts w:cstheme="majorHAnsi"/>
        </w:rPr>
      </w:pPr>
    </w:p>
    <w:p w14:paraId="7CD723F4" w14:textId="77777777" w:rsidR="00042D7D" w:rsidRPr="0058758A" w:rsidRDefault="00042D7D" w:rsidP="00042D7D">
      <w:pPr>
        <w:keepNext/>
        <w:spacing w:before="240" w:after="60"/>
        <w:ind w:firstLine="1560"/>
        <w:outlineLvl w:val="1"/>
        <w:rPr>
          <w:rFonts w:cs="Arial"/>
          <w:i/>
          <w:iCs/>
          <w:color w:val="00A6A3"/>
        </w:rPr>
      </w:pPr>
      <w:bookmarkStart w:id="40" w:name="_Toc190693417"/>
      <w:r w:rsidRPr="0058758A">
        <w:rPr>
          <w:rFonts w:cs="Arial"/>
          <w:i/>
          <w:iCs/>
          <w:color w:val="00A6A3"/>
        </w:rPr>
        <w:t>Article 1.2.5 - Variantes</w:t>
      </w:r>
      <w:bookmarkEnd w:id="38"/>
      <w:bookmarkEnd w:id="39"/>
      <w:bookmarkEnd w:id="40"/>
    </w:p>
    <w:p w14:paraId="648B3FE6" w14:textId="77777777" w:rsidR="00042D7D" w:rsidRPr="0058758A" w:rsidRDefault="00042D7D" w:rsidP="00042D7D">
      <w:pPr>
        <w:keepNext/>
        <w:spacing w:before="240" w:after="60"/>
        <w:outlineLvl w:val="1"/>
        <w:rPr>
          <w:rFonts w:cs="Arial"/>
          <w:iCs/>
        </w:rPr>
      </w:pPr>
      <w:bookmarkStart w:id="41" w:name="_Toc34900480"/>
      <w:bookmarkStart w:id="42" w:name="_Toc38967291"/>
      <w:bookmarkStart w:id="43" w:name="_Toc39657589"/>
      <w:bookmarkStart w:id="44" w:name="_Toc41990845"/>
      <w:bookmarkStart w:id="45" w:name="_Toc87260671"/>
      <w:bookmarkStart w:id="46" w:name="_Toc87279190"/>
      <w:bookmarkStart w:id="47" w:name="_Toc87369907"/>
      <w:bookmarkStart w:id="48" w:name="_Toc87870638"/>
      <w:bookmarkStart w:id="49" w:name="_Toc88213011"/>
      <w:bookmarkStart w:id="50" w:name="_Toc89357113"/>
      <w:bookmarkStart w:id="51" w:name="_Toc89686462"/>
      <w:bookmarkStart w:id="52" w:name="_Toc97131976"/>
      <w:bookmarkStart w:id="53" w:name="_Toc97644144"/>
      <w:bookmarkStart w:id="54" w:name="_Toc135996148"/>
      <w:bookmarkStart w:id="55" w:name="_Toc163483213"/>
      <w:bookmarkStart w:id="56" w:name="_Toc190693418"/>
      <w:r w:rsidRPr="0058758A">
        <w:rPr>
          <w:rFonts w:cs="Arial"/>
          <w:iCs/>
        </w:rPr>
        <w:t>Les variantes ne sont pas autorisées. Les soumissionnaires doivent obligatoirement présenter une offre entièrement conforme au dossier de consultation.</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0EACA15" w14:textId="77777777" w:rsidR="00042D7D" w:rsidRPr="0058758A" w:rsidRDefault="00042D7D" w:rsidP="009D5209">
      <w:pPr>
        <w:pStyle w:val="Titre2"/>
        <w:numPr>
          <w:ilvl w:val="0"/>
          <w:numId w:val="0"/>
        </w:numPr>
        <w:ind w:left="142"/>
        <w:rPr>
          <w:rFonts w:ascii="AvenirNext LT Pro Cn" w:hAnsi="AvenirNext LT Pro Cn"/>
          <w:sz w:val="22"/>
          <w:szCs w:val="22"/>
        </w:rPr>
      </w:pPr>
      <w:bookmarkStart w:id="57" w:name="_Toc41990846"/>
      <w:bookmarkStart w:id="58" w:name="_Toc190693419"/>
      <w:bookmarkStart w:id="59" w:name="_Toc34900481"/>
      <w:r w:rsidRPr="0058758A">
        <w:rPr>
          <w:rFonts w:ascii="AvenirNext LT Pro Cn" w:hAnsi="AvenirNext LT Pro Cn"/>
          <w:sz w:val="22"/>
          <w:szCs w:val="22"/>
        </w:rPr>
        <w:t>1.3. – Forme</w:t>
      </w:r>
      <w:bookmarkEnd w:id="57"/>
      <w:bookmarkEnd w:id="58"/>
      <w:r w:rsidRPr="0058758A">
        <w:rPr>
          <w:rFonts w:ascii="AvenirNext LT Pro Cn" w:hAnsi="AvenirNext LT Pro Cn"/>
          <w:sz w:val="22"/>
          <w:szCs w:val="22"/>
        </w:rPr>
        <w:t xml:space="preserve"> </w:t>
      </w:r>
      <w:bookmarkEnd w:id="59"/>
    </w:p>
    <w:p w14:paraId="7A577E76" w14:textId="267B17C3" w:rsidR="00072C1C" w:rsidRPr="0058758A" w:rsidRDefault="00D74584" w:rsidP="00072C1C">
      <w:r w:rsidRPr="0058758A">
        <w:t>Le marché est un marché ordinaire.</w:t>
      </w:r>
    </w:p>
    <w:p w14:paraId="099B785F" w14:textId="77777777" w:rsidR="00042D7D" w:rsidRPr="0058758A" w:rsidRDefault="00042D7D" w:rsidP="009D5209">
      <w:pPr>
        <w:pStyle w:val="Titre2"/>
        <w:numPr>
          <w:ilvl w:val="0"/>
          <w:numId w:val="0"/>
        </w:numPr>
        <w:ind w:left="142"/>
        <w:rPr>
          <w:rFonts w:ascii="AvenirNext LT Pro Cn" w:hAnsi="AvenirNext LT Pro Cn"/>
          <w:sz w:val="22"/>
          <w:szCs w:val="22"/>
        </w:rPr>
      </w:pPr>
      <w:bookmarkStart w:id="60" w:name="_Toc532666543"/>
      <w:bookmarkStart w:id="61" w:name="_Toc34900482"/>
      <w:bookmarkStart w:id="62" w:name="_Toc41990847"/>
      <w:bookmarkStart w:id="63" w:name="_Toc190693420"/>
      <w:r w:rsidRPr="0058758A">
        <w:rPr>
          <w:rFonts w:ascii="AvenirNext LT Pro Cn" w:hAnsi="AvenirNext LT Pro Cn"/>
          <w:sz w:val="22"/>
          <w:szCs w:val="22"/>
        </w:rPr>
        <w:t xml:space="preserve">1.4. – </w:t>
      </w:r>
      <w:bookmarkEnd w:id="60"/>
      <w:bookmarkEnd w:id="61"/>
      <w:bookmarkEnd w:id="62"/>
      <w:r w:rsidR="00E87CDD" w:rsidRPr="0058758A">
        <w:rPr>
          <w:rFonts w:ascii="AvenirNext LT Pro Cn" w:hAnsi="AvenirNext LT Pro Cn"/>
          <w:sz w:val="22"/>
          <w:szCs w:val="22"/>
        </w:rPr>
        <w:t>Modifications du marché</w:t>
      </w:r>
      <w:bookmarkEnd w:id="63"/>
    </w:p>
    <w:p w14:paraId="2C657F99" w14:textId="77777777" w:rsidR="00042D7D" w:rsidRPr="0058758A" w:rsidRDefault="00042D7D" w:rsidP="00042D7D">
      <w:pPr>
        <w:rPr>
          <w:rFonts w:cs="Arial"/>
        </w:rPr>
      </w:pPr>
      <w:r w:rsidRPr="0058758A">
        <w:rPr>
          <w:rFonts w:cs="Arial"/>
        </w:rPr>
        <w:t xml:space="preserve">Le marché prévoit que le contrat puisse être modifié, conformément aux articles R2194-1 à R2194-9 du </w:t>
      </w:r>
      <w:r w:rsidR="00065251" w:rsidRPr="0058758A">
        <w:rPr>
          <w:rFonts w:cs="Arial"/>
        </w:rPr>
        <w:t>c</w:t>
      </w:r>
      <w:r w:rsidRPr="0058758A">
        <w:rPr>
          <w:rFonts w:cs="Arial"/>
        </w:rPr>
        <w:t>ode de la commande publique.</w:t>
      </w:r>
    </w:p>
    <w:p w14:paraId="08B0E5ED" w14:textId="77777777" w:rsidR="00B3398C" w:rsidRPr="0058758A" w:rsidRDefault="00B3398C" w:rsidP="003F4F96">
      <w:pPr>
        <w:pStyle w:val="Titre1"/>
        <w:spacing w:before="360" w:after="240"/>
        <w:ind w:left="357" w:hanging="357"/>
        <w:rPr>
          <w:rFonts w:ascii="AvenirNext LT Pro Cn" w:hAnsi="AvenirNext LT Pro Cn"/>
          <w:i/>
          <w:iCs/>
          <w:sz w:val="22"/>
          <w:szCs w:val="22"/>
        </w:rPr>
      </w:pPr>
      <w:bookmarkStart w:id="64" w:name="_Toc190693421"/>
      <w:r w:rsidRPr="0058758A">
        <w:rPr>
          <w:rFonts w:ascii="AvenirNext LT Pro Cn" w:hAnsi="AvenirNext LT Pro Cn"/>
          <w:sz w:val="22"/>
          <w:szCs w:val="22"/>
        </w:rPr>
        <w:t>PIÈCES CONTRACTUELLES DU MARCHÉ</w:t>
      </w:r>
      <w:bookmarkEnd w:id="64"/>
    </w:p>
    <w:p w14:paraId="057160B6" w14:textId="77777777" w:rsidR="00042D7D" w:rsidRPr="0058758A" w:rsidRDefault="00042D7D" w:rsidP="00042D7D">
      <w:r w:rsidRPr="0058758A">
        <w:t>Par dérogation à l’article 4.1 du CCAG-FCS, les pièces constitutives du présent marché sont les suivantes, par ordre décroissant de priorité :</w:t>
      </w:r>
    </w:p>
    <w:p w14:paraId="6997CEA7" w14:textId="77777777" w:rsidR="00042D7D" w:rsidRPr="0058758A" w:rsidRDefault="00042D7D" w:rsidP="009D5209">
      <w:pPr>
        <w:pStyle w:val="Titre2"/>
        <w:numPr>
          <w:ilvl w:val="0"/>
          <w:numId w:val="0"/>
        </w:numPr>
        <w:rPr>
          <w:rFonts w:ascii="AvenirNext LT Pro Cn" w:hAnsi="AvenirNext LT Pro Cn"/>
          <w:sz w:val="22"/>
          <w:szCs w:val="22"/>
        </w:rPr>
      </w:pPr>
      <w:bookmarkStart w:id="65" w:name="_Toc41990851"/>
      <w:bookmarkStart w:id="66" w:name="_Toc190693422"/>
      <w:r w:rsidRPr="0058758A">
        <w:rPr>
          <w:rFonts w:ascii="AvenirNext LT Pro Cn" w:hAnsi="AvenirNext LT Pro Cn"/>
          <w:sz w:val="22"/>
          <w:szCs w:val="22"/>
        </w:rPr>
        <w:t>2.1 – Pièces particulières</w:t>
      </w:r>
      <w:bookmarkEnd w:id="65"/>
      <w:bookmarkEnd w:id="66"/>
    </w:p>
    <w:p w14:paraId="7FDFC0C5" w14:textId="77777777" w:rsidR="00042D7D" w:rsidRPr="0058758A" w:rsidRDefault="00072C1C" w:rsidP="00626EDC">
      <w:pPr>
        <w:pStyle w:val="Paragraphedeliste"/>
        <w:numPr>
          <w:ilvl w:val="0"/>
          <w:numId w:val="3"/>
        </w:numPr>
        <w:autoSpaceDE w:val="0"/>
        <w:autoSpaceDN w:val="0"/>
        <w:adjustRightInd w:val="0"/>
        <w:spacing w:before="0" w:after="0"/>
        <w:rPr>
          <w:rFonts w:eastAsia="Times New Roman" w:cs="Times-Roman"/>
          <w:color w:val="2C2A2A"/>
          <w:lang w:eastAsia="fr-FR"/>
        </w:rPr>
      </w:pPr>
      <w:r w:rsidRPr="0058758A">
        <w:t xml:space="preserve">Le présent </w:t>
      </w:r>
      <w:r w:rsidR="00065251" w:rsidRPr="0058758A">
        <w:t>a</w:t>
      </w:r>
      <w:r w:rsidRPr="0058758A">
        <w:t>cte d’</w:t>
      </w:r>
      <w:r w:rsidR="00065251" w:rsidRPr="0058758A">
        <w:t>e</w:t>
      </w:r>
      <w:r w:rsidRPr="0058758A">
        <w:t xml:space="preserve">ngagement valant </w:t>
      </w:r>
      <w:r w:rsidR="00065251" w:rsidRPr="0058758A">
        <w:t>c</w:t>
      </w:r>
      <w:r w:rsidRPr="0058758A">
        <w:t xml:space="preserve">ahier des </w:t>
      </w:r>
      <w:r w:rsidR="00065251" w:rsidRPr="0058758A">
        <w:t>c</w:t>
      </w:r>
      <w:r w:rsidRPr="0058758A">
        <w:t xml:space="preserve">lauses </w:t>
      </w:r>
      <w:r w:rsidR="00065251" w:rsidRPr="0058758A">
        <w:t>p</w:t>
      </w:r>
      <w:r w:rsidRPr="0058758A">
        <w:t>articulières du marché</w:t>
      </w:r>
      <w:r w:rsidR="00FF727D" w:rsidRPr="0058758A">
        <w:t xml:space="preserve"> (AECCP) </w:t>
      </w:r>
      <w:r w:rsidRPr="0058758A">
        <w:t>et ses éventuelles annexes, dans la version résultant des dernières modifications éventuelles, opérées par avenant. (</w:t>
      </w:r>
      <w:r w:rsidR="00042D7D" w:rsidRPr="0058758A">
        <w:t>Par dérogation à l’article 4.2.1 du CCAG-FCS, il est précisé que seule une copie de l’acte d’engagement est notifiée au titulaire du marché</w:t>
      </w:r>
      <w:r w:rsidRPr="0058758A">
        <w:t>).</w:t>
      </w:r>
      <w:r w:rsidR="00042D7D" w:rsidRPr="0058758A">
        <w:t xml:space="preserve"> </w:t>
      </w:r>
    </w:p>
    <w:p w14:paraId="45F3392E" w14:textId="77777777" w:rsidR="00042D7D" w:rsidRPr="0058758A" w:rsidRDefault="00042D7D" w:rsidP="00626EDC">
      <w:pPr>
        <w:pStyle w:val="Paragraphedeliste"/>
        <w:numPr>
          <w:ilvl w:val="0"/>
          <w:numId w:val="5"/>
        </w:numPr>
        <w:spacing w:after="0"/>
        <w:ind w:left="714" w:hanging="357"/>
      </w:pPr>
      <w:r w:rsidRPr="0058758A">
        <w:t>L’offre financière</w:t>
      </w:r>
      <w:r w:rsidR="00094D42" w:rsidRPr="0058758A">
        <w:t xml:space="preserve"> et technique</w:t>
      </w:r>
      <w:r w:rsidRPr="0058758A">
        <w:t xml:space="preserve"> du titulaire</w:t>
      </w:r>
      <w:r w:rsidR="00094D42" w:rsidRPr="0058758A">
        <w:t xml:space="preserve">, complétée le cas échéant, par les documents transmis au cours des </w:t>
      </w:r>
      <w:r w:rsidR="00FF727D" w:rsidRPr="0058758A">
        <w:t>négociations</w:t>
      </w:r>
    </w:p>
    <w:p w14:paraId="1EE57E0B" w14:textId="77777777" w:rsidR="00094D42" w:rsidRPr="0058758A" w:rsidRDefault="00094D42" w:rsidP="00094D42">
      <w:pPr>
        <w:pStyle w:val="Paragraphedeliste"/>
        <w:numPr>
          <w:ilvl w:val="0"/>
          <w:numId w:val="5"/>
        </w:numPr>
        <w:spacing w:after="0"/>
      </w:pPr>
      <w:r w:rsidRPr="0058758A">
        <w:t>Les actes spéciaux de sous-traitance et leurs modifications, postérieures à la notification du marché</w:t>
      </w:r>
    </w:p>
    <w:p w14:paraId="652127C9" w14:textId="77777777" w:rsidR="00042D7D" w:rsidRPr="0058758A" w:rsidRDefault="00042D7D" w:rsidP="009D5209">
      <w:pPr>
        <w:pStyle w:val="Titre2"/>
        <w:numPr>
          <w:ilvl w:val="0"/>
          <w:numId w:val="0"/>
        </w:numPr>
        <w:rPr>
          <w:rFonts w:ascii="AvenirNext LT Pro Cn" w:hAnsi="AvenirNext LT Pro Cn"/>
          <w:sz w:val="22"/>
          <w:szCs w:val="22"/>
        </w:rPr>
      </w:pPr>
      <w:bookmarkStart w:id="67" w:name="_Toc41990852"/>
      <w:bookmarkStart w:id="68" w:name="_Toc190693423"/>
      <w:r w:rsidRPr="0058758A">
        <w:rPr>
          <w:rFonts w:ascii="AvenirNext LT Pro Cn" w:hAnsi="AvenirNext LT Pro Cn"/>
          <w:sz w:val="22"/>
          <w:szCs w:val="22"/>
        </w:rPr>
        <w:t>2.2 – Pièces générales</w:t>
      </w:r>
      <w:bookmarkEnd w:id="67"/>
      <w:bookmarkEnd w:id="68"/>
      <w:r w:rsidRPr="0058758A">
        <w:rPr>
          <w:rFonts w:ascii="AvenirNext LT Pro Cn" w:hAnsi="AvenirNext LT Pro Cn"/>
          <w:sz w:val="22"/>
          <w:szCs w:val="22"/>
        </w:rPr>
        <w:t xml:space="preserve"> </w:t>
      </w:r>
    </w:p>
    <w:p w14:paraId="44004846" w14:textId="77777777" w:rsidR="00042D7D" w:rsidRPr="0058758A" w:rsidRDefault="00042D7D" w:rsidP="00626EDC">
      <w:pPr>
        <w:pStyle w:val="Paragraphedeliste"/>
        <w:numPr>
          <w:ilvl w:val="0"/>
          <w:numId w:val="4"/>
        </w:numPr>
        <w:spacing w:before="240" w:after="0"/>
        <w:ind w:left="714" w:hanging="357"/>
      </w:pPr>
      <w:r w:rsidRPr="0058758A">
        <w:t xml:space="preserve">Le </w:t>
      </w:r>
      <w:r w:rsidR="00065251" w:rsidRPr="0058758A">
        <w:t>c</w:t>
      </w:r>
      <w:r w:rsidRPr="0058758A">
        <w:t xml:space="preserve">ahier des </w:t>
      </w:r>
      <w:r w:rsidR="00065251" w:rsidRPr="0058758A">
        <w:t>c</w:t>
      </w:r>
      <w:r w:rsidRPr="0058758A">
        <w:t xml:space="preserve">lauses </w:t>
      </w:r>
      <w:r w:rsidR="00065251" w:rsidRPr="0058758A">
        <w:t>a</w:t>
      </w:r>
      <w:r w:rsidRPr="0058758A">
        <w:t xml:space="preserve">dministratives </w:t>
      </w:r>
      <w:r w:rsidR="00065251" w:rsidRPr="0058758A">
        <w:t>g</w:t>
      </w:r>
      <w:r w:rsidRPr="0058758A">
        <w:t xml:space="preserve">énérales applicables aux marchés publics de </w:t>
      </w:r>
      <w:r w:rsidR="00065251" w:rsidRPr="0058758A">
        <w:t>f</w:t>
      </w:r>
      <w:r w:rsidRPr="0058758A">
        <w:t xml:space="preserve">ournitures </w:t>
      </w:r>
      <w:r w:rsidR="00065251" w:rsidRPr="0058758A">
        <w:t>c</w:t>
      </w:r>
      <w:r w:rsidRPr="0058758A">
        <w:t xml:space="preserve">ourantes et de </w:t>
      </w:r>
      <w:r w:rsidR="00065251" w:rsidRPr="0058758A">
        <w:t>s</w:t>
      </w:r>
      <w:r w:rsidRPr="0058758A">
        <w:t>ervices (CCAG—FCS) approuvé par l’arrêté du</w:t>
      </w:r>
      <w:r w:rsidR="00AB563A" w:rsidRPr="0058758A">
        <w:t> </w:t>
      </w:r>
      <w:r w:rsidR="00B07A17" w:rsidRPr="0058758A">
        <w:t>30 mars 2021</w:t>
      </w:r>
      <w:r w:rsidR="001A72C8" w:rsidRPr="0058758A">
        <w:t xml:space="preserve"> </w:t>
      </w:r>
      <w:r w:rsidR="00B07A17" w:rsidRPr="0058758A">
        <w:t>portant approbation du cahier des clauses administratives générales des marchés publics de fournitures courantes et de services</w:t>
      </w:r>
      <w:r w:rsidR="00587408" w:rsidRPr="0058758A">
        <w:t xml:space="preserve"> et modifié par l’arrêté du 30 septembre 2021</w:t>
      </w:r>
      <w:r w:rsidR="001051F5" w:rsidRPr="0058758A">
        <w:t>.</w:t>
      </w:r>
    </w:p>
    <w:p w14:paraId="59E181BD" w14:textId="072F3D55" w:rsidR="00042D7D" w:rsidRPr="0058758A" w:rsidRDefault="00042D7D" w:rsidP="00626EDC">
      <w:pPr>
        <w:pStyle w:val="Paragraphedeliste"/>
        <w:numPr>
          <w:ilvl w:val="0"/>
          <w:numId w:val="4"/>
        </w:numPr>
        <w:spacing w:after="0"/>
      </w:pPr>
      <w:r w:rsidRPr="0058758A">
        <w:t>Les normes et règlements nationaux, européens et internationaux en vigueur, relatifs au domaine objet du marché.</w:t>
      </w:r>
    </w:p>
    <w:p w14:paraId="3A509682" w14:textId="087580CE" w:rsidR="00A26305" w:rsidRPr="0058758A" w:rsidRDefault="00A26305" w:rsidP="00A26305">
      <w:pPr>
        <w:spacing w:after="0"/>
      </w:pPr>
    </w:p>
    <w:p w14:paraId="3A027D08" w14:textId="77777777" w:rsidR="00A26305" w:rsidRPr="0058758A" w:rsidRDefault="00A26305" w:rsidP="00A26305">
      <w:pPr>
        <w:spacing w:after="0"/>
        <w:rPr>
          <w:u w:val="single"/>
        </w:rPr>
      </w:pPr>
      <w:r w:rsidRPr="0058758A">
        <w:t xml:space="preserve">Toute clause, portée dans le(s) catalogue(s), tarif(s), offre du titulaire ou documentation quelconque et contraire aux dispositions des pièces contractuelles énumérées ci-avant, est réputée non écrite. </w:t>
      </w:r>
      <w:r w:rsidRPr="0058758A">
        <w:rPr>
          <w:u w:val="single"/>
        </w:rPr>
        <w:t>Les conditions générales de vente du titulaire sont concernées par cette disposition.</w:t>
      </w:r>
    </w:p>
    <w:p w14:paraId="3B3B2779" w14:textId="77777777" w:rsidR="00B3398C" w:rsidRPr="0058758A" w:rsidRDefault="00B3398C" w:rsidP="008630D8">
      <w:pPr>
        <w:pStyle w:val="Titre1"/>
        <w:rPr>
          <w:rFonts w:ascii="AvenirNext LT Pro Cn" w:hAnsi="AvenirNext LT Pro Cn"/>
          <w:i/>
          <w:iCs/>
          <w:color w:val="C00000"/>
          <w:sz w:val="22"/>
          <w:szCs w:val="22"/>
        </w:rPr>
      </w:pPr>
      <w:bookmarkStart w:id="69" w:name="_Toc190693424"/>
      <w:r w:rsidRPr="0058758A">
        <w:rPr>
          <w:rFonts w:ascii="AvenirNext LT Pro Cn" w:hAnsi="AvenirNext LT Pro Cn"/>
          <w:sz w:val="22"/>
          <w:szCs w:val="22"/>
        </w:rPr>
        <w:lastRenderedPageBreak/>
        <w:t>CONTENU DES PRESTATIONS</w:t>
      </w:r>
      <w:bookmarkEnd w:id="69"/>
      <w:r w:rsidRPr="0058758A">
        <w:rPr>
          <w:rFonts w:ascii="AvenirNext LT Pro Cn" w:hAnsi="AvenirNext LT Pro Cn"/>
          <w:sz w:val="22"/>
          <w:szCs w:val="22"/>
        </w:rPr>
        <w:t xml:space="preserve"> </w:t>
      </w:r>
    </w:p>
    <w:p w14:paraId="4AA3A9FE" w14:textId="65F42FBF" w:rsidR="009D115A" w:rsidRPr="0058758A" w:rsidRDefault="009D115A" w:rsidP="009D5209">
      <w:pPr>
        <w:pStyle w:val="Titre2"/>
        <w:rPr>
          <w:rFonts w:ascii="AvenirNext LT Pro Cn" w:hAnsi="AvenirNext LT Pro Cn"/>
          <w:sz w:val="22"/>
          <w:szCs w:val="22"/>
        </w:rPr>
      </w:pPr>
      <w:bookmarkStart w:id="70" w:name="_Toc190693425"/>
      <w:r w:rsidRPr="0058758A">
        <w:rPr>
          <w:rFonts w:ascii="AvenirNext LT Pro Cn" w:hAnsi="AvenirNext LT Pro Cn"/>
          <w:sz w:val="22"/>
          <w:szCs w:val="22"/>
        </w:rPr>
        <w:t>– Performances techniques - Normes</w:t>
      </w:r>
      <w:bookmarkEnd w:id="70"/>
    </w:p>
    <w:p w14:paraId="605182F9" w14:textId="641A8481" w:rsidR="009D115A" w:rsidRPr="0058758A" w:rsidRDefault="009D115A" w:rsidP="008630D8">
      <w:pPr>
        <w:rPr>
          <w:color w:val="E36C0A" w:themeColor="accent6" w:themeShade="BF"/>
        </w:rPr>
      </w:pPr>
      <w:r w:rsidRPr="0058758A">
        <w:t xml:space="preserve">L’équipement proposé doit être conforme aux normes européennes en vigueur. </w:t>
      </w:r>
    </w:p>
    <w:p w14:paraId="42BCA662" w14:textId="097297C8" w:rsidR="009D115A" w:rsidRPr="0058758A" w:rsidRDefault="009D115A" w:rsidP="008630D8">
      <w:r w:rsidRPr="0058758A">
        <w:t>La combinaison des principales caractéristiques de l’équipement doit satisfaire aux contraintes expérimentales du programme scientifique et assurer sa compatibilité avec l’environnement instrumental existant.</w:t>
      </w:r>
    </w:p>
    <w:p w14:paraId="0C358FD4" w14:textId="711CECFD" w:rsidR="009D115A" w:rsidRPr="0058758A" w:rsidRDefault="009D115A" w:rsidP="008630D8">
      <w:r w:rsidRPr="0058758A">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77777777" w:rsidR="00AB563A" w:rsidRPr="0058758A" w:rsidRDefault="00AB563A" w:rsidP="009D5209">
      <w:pPr>
        <w:pStyle w:val="Titre2"/>
        <w:rPr>
          <w:rFonts w:ascii="AvenirNext LT Pro Cn" w:hAnsi="AvenirNext LT Pro Cn"/>
          <w:sz w:val="22"/>
          <w:szCs w:val="22"/>
        </w:rPr>
      </w:pPr>
      <w:bookmarkStart w:id="71" w:name="_Toc41990858"/>
      <w:bookmarkStart w:id="72" w:name="_Toc190693426"/>
      <w:r w:rsidRPr="0058758A">
        <w:rPr>
          <w:rFonts w:ascii="AvenirNext LT Pro Cn" w:hAnsi="AvenirNext LT Pro Cn"/>
          <w:sz w:val="22"/>
          <w:szCs w:val="22"/>
        </w:rPr>
        <w:t>– Spécifications techniques</w:t>
      </w:r>
      <w:bookmarkEnd w:id="71"/>
      <w:bookmarkEnd w:id="72"/>
    </w:p>
    <w:p w14:paraId="2BB6EA59" w14:textId="120CAA51" w:rsidR="00F05CB2" w:rsidRPr="0058758A" w:rsidRDefault="007A2941" w:rsidP="00F05CB2">
      <w:pPr>
        <w:spacing w:before="100" w:beforeAutospacing="1" w:after="100" w:afterAutospacing="1"/>
        <w:contextualSpacing/>
        <w:rPr>
          <w:rFonts w:eastAsia="Arial"/>
        </w:rPr>
      </w:pPr>
      <w:r w:rsidRPr="0058758A">
        <w:rPr>
          <w:rFonts w:eastAsia="Arial"/>
        </w:rPr>
        <w:t>Les attendus techniques sont spécifiés dans le Cahier des Charges Techniques en annexe du présent AECC¨P.</w:t>
      </w:r>
    </w:p>
    <w:p w14:paraId="773D23BF" w14:textId="77777777" w:rsidR="00A26305" w:rsidRPr="0058758A" w:rsidRDefault="00A26305" w:rsidP="009D5209">
      <w:pPr>
        <w:pStyle w:val="Titre2"/>
        <w:rPr>
          <w:rFonts w:ascii="AvenirNext LT Pro Cn" w:hAnsi="AvenirNext LT Pro Cn"/>
          <w:sz w:val="22"/>
          <w:szCs w:val="22"/>
        </w:rPr>
      </w:pPr>
      <w:bookmarkStart w:id="73" w:name="_Toc190693427"/>
      <w:r w:rsidRPr="0058758A">
        <w:rPr>
          <w:rFonts w:ascii="AvenirNext LT Pro Cn" w:hAnsi="AvenirNext LT Pro Cn"/>
          <w:sz w:val="22"/>
          <w:szCs w:val="22"/>
        </w:rPr>
        <w:t>Indicateurs de suivi et taux de disponibilité</w:t>
      </w:r>
      <w:bookmarkEnd w:id="73"/>
    </w:p>
    <w:p w14:paraId="7F915649" w14:textId="77777777" w:rsidR="00A26305" w:rsidRPr="0058758A" w:rsidRDefault="00A26305" w:rsidP="00A26305">
      <w:r w:rsidRPr="0058758A">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58758A" w:rsidRDefault="00A26305" w:rsidP="009D5209">
      <w:pPr>
        <w:pStyle w:val="Titre2"/>
        <w:rPr>
          <w:rFonts w:ascii="AvenirNext LT Pro Cn" w:hAnsi="AvenirNext LT Pro Cn"/>
          <w:sz w:val="22"/>
          <w:szCs w:val="22"/>
        </w:rPr>
      </w:pPr>
      <w:bookmarkStart w:id="74" w:name="_Toc190693428"/>
      <w:r w:rsidRPr="0058758A">
        <w:rPr>
          <w:rFonts w:ascii="AvenirNext LT Pro Cn" w:hAnsi="AvenirNext LT Pro Cn"/>
          <w:sz w:val="22"/>
          <w:szCs w:val="22"/>
        </w:rPr>
        <w:t>Définition de l’indisponibilité</w:t>
      </w:r>
      <w:bookmarkEnd w:id="74"/>
    </w:p>
    <w:p w14:paraId="20713CD1" w14:textId="77777777" w:rsidR="00A26305" w:rsidRPr="0058758A" w:rsidRDefault="00A26305" w:rsidP="00A26305">
      <w:r w:rsidRPr="0058758A">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58758A" w:rsidRDefault="00A26305" w:rsidP="00A26305">
      <w:r w:rsidRPr="0058758A">
        <w:t>Ne sont pas considérés comme temps d'arrêt décomptés, les temps d'arrêt observés pendant les heures extérieures à l'horaire normal d'interventions du titulaire.</w:t>
      </w:r>
    </w:p>
    <w:p w14:paraId="5D421D97" w14:textId="77777777" w:rsidR="00A26305" w:rsidRPr="0058758A" w:rsidRDefault="00A26305" w:rsidP="003946F1">
      <w:pPr>
        <w:keepNext/>
        <w:keepLines/>
        <w:numPr>
          <w:ilvl w:val="2"/>
          <w:numId w:val="11"/>
        </w:numPr>
        <w:spacing w:before="360" w:after="240"/>
        <w:outlineLvl w:val="2"/>
        <w:rPr>
          <w:rFonts w:eastAsiaTheme="majorEastAsia" w:cstheme="majorBidi"/>
          <w:color w:val="00A6A3"/>
        </w:rPr>
      </w:pPr>
      <w:bookmarkStart w:id="75" w:name="_Toc190693429"/>
      <w:r w:rsidRPr="0058758A">
        <w:rPr>
          <w:rFonts w:eastAsiaTheme="majorEastAsia" w:cstheme="majorBidi"/>
          <w:color w:val="00A6A3"/>
        </w:rPr>
        <w:t>Mesure de la durée d’arrêt</w:t>
      </w:r>
      <w:bookmarkEnd w:id="75"/>
    </w:p>
    <w:p w14:paraId="4C761EBE" w14:textId="77777777" w:rsidR="00A26305" w:rsidRPr="0058758A" w:rsidRDefault="00A26305" w:rsidP="00A26305">
      <w:r w:rsidRPr="0058758A">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58758A" w:rsidRDefault="00A26305" w:rsidP="00A26305">
      <w:r w:rsidRPr="0058758A">
        <w:t xml:space="preserve">La période d'arrêt cesse lorsque le personnel du titulaire remet l’instrument concerné, en état de marche, à la disposition d’INRAE. </w:t>
      </w:r>
    </w:p>
    <w:p w14:paraId="3C513029" w14:textId="77777777" w:rsidR="00A26305" w:rsidRPr="0058758A" w:rsidRDefault="00A26305" w:rsidP="00A26305">
      <w:r w:rsidRPr="0058758A">
        <w:t>Les heures de début et de fin de la période d'arrêt sont relevées sur un carnet de bord.</w:t>
      </w:r>
    </w:p>
    <w:p w14:paraId="6039A539" w14:textId="77777777" w:rsidR="00A26305" w:rsidRPr="0058758A" w:rsidRDefault="00A26305" w:rsidP="009D5209">
      <w:pPr>
        <w:pStyle w:val="Titre2"/>
        <w:rPr>
          <w:rFonts w:ascii="AvenirNext LT Pro Cn" w:hAnsi="AvenirNext LT Pro Cn"/>
          <w:sz w:val="22"/>
          <w:szCs w:val="22"/>
        </w:rPr>
      </w:pPr>
      <w:bookmarkStart w:id="76" w:name="_Toc190693430"/>
      <w:r w:rsidRPr="0058758A">
        <w:rPr>
          <w:rFonts w:ascii="AvenirNext LT Pro Cn" w:hAnsi="AvenirNext LT Pro Cn"/>
          <w:sz w:val="22"/>
          <w:szCs w:val="22"/>
        </w:rPr>
        <w:t>Taux de disponibilité</w:t>
      </w:r>
      <w:bookmarkEnd w:id="76"/>
    </w:p>
    <w:p w14:paraId="1E847205" w14:textId="77777777" w:rsidR="00A26305" w:rsidRPr="0058758A" w:rsidRDefault="00A26305" w:rsidP="00A26305">
      <w:r w:rsidRPr="0058758A">
        <w:t xml:space="preserve">INRAE et le titulaire conviennent de mesurer le taux de disponibilité annuel dudit équipement. </w:t>
      </w:r>
    </w:p>
    <w:p w14:paraId="5A16FC63" w14:textId="77777777" w:rsidR="00A26305" w:rsidRPr="0058758A" w:rsidRDefault="00A26305" w:rsidP="00A26305">
      <w:r w:rsidRPr="0058758A">
        <w:t xml:space="preserve">Ce taux est défini par la formule suivante : </w:t>
      </w:r>
    </w:p>
    <w:p w14:paraId="3EDD4240" w14:textId="77777777" w:rsidR="00A26305" w:rsidRPr="0058758A" w:rsidRDefault="00A26305" w:rsidP="00A26305">
      <w:r w:rsidRPr="0058758A">
        <w:t xml:space="preserve">T = 100(1-T1/T2) exprimé en % </w:t>
      </w:r>
    </w:p>
    <w:p w14:paraId="49435463" w14:textId="77777777" w:rsidR="00A26305" w:rsidRPr="0058758A" w:rsidRDefault="00A26305" w:rsidP="00A26305">
      <w:r w:rsidRPr="0058758A">
        <w:t>Dans laquelle :</w:t>
      </w:r>
    </w:p>
    <w:p w14:paraId="37092A37" w14:textId="77777777" w:rsidR="00A26305" w:rsidRPr="0058758A" w:rsidRDefault="00A26305" w:rsidP="003946F1">
      <w:pPr>
        <w:numPr>
          <w:ilvl w:val="0"/>
          <w:numId w:val="12"/>
        </w:numPr>
      </w:pPr>
      <w:r w:rsidRPr="0058758A">
        <w:lastRenderedPageBreak/>
        <w:t>T1 représente la somme des durées d’arrêt définies au paragraphe « Mesure de la durée d’arrêt » sur la période de mesure considérée (annuellement)</w:t>
      </w:r>
    </w:p>
    <w:p w14:paraId="75A5480F" w14:textId="77777777" w:rsidR="00A26305" w:rsidRPr="0058758A" w:rsidRDefault="00A26305" w:rsidP="003946F1">
      <w:pPr>
        <w:numPr>
          <w:ilvl w:val="0"/>
          <w:numId w:val="12"/>
        </w:numPr>
      </w:pPr>
      <w:r w:rsidRPr="0058758A">
        <w:t>T2 représente la durée d’utilisation annuelle effective de l’équipement.</w:t>
      </w:r>
    </w:p>
    <w:p w14:paraId="60CA5D9C" w14:textId="77777777" w:rsidR="00A26305" w:rsidRPr="0058758A" w:rsidRDefault="00A26305" w:rsidP="003946F1">
      <w:pPr>
        <w:keepNext/>
        <w:keepLines/>
        <w:numPr>
          <w:ilvl w:val="2"/>
          <w:numId w:val="13"/>
        </w:numPr>
        <w:spacing w:before="360" w:after="240"/>
        <w:outlineLvl w:val="2"/>
        <w:rPr>
          <w:rFonts w:eastAsiaTheme="majorEastAsia" w:cstheme="majorBidi"/>
          <w:color w:val="00A6A3"/>
        </w:rPr>
      </w:pPr>
      <w:bookmarkStart w:id="77" w:name="_Toc190693431"/>
      <w:r w:rsidRPr="0058758A">
        <w:rPr>
          <w:rFonts w:eastAsiaTheme="majorEastAsia" w:cstheme="majorBidi"/>
          <w:color w:val="00A6A3"/>
        </w:rPr>
        <w:t>Délai maximal autorisé</w:t>
      </w:r>
      <w:bookmarkEnd w:id="77"/>
    </w:p>
    <w:p w14:paraId="4E7614BE" w14:textId="77777777" w:rsidR="00A26305" w:rsidRPr="0058758A" w:rsidRDefault="00A26305" w:rsidP="00A26305">
      <w:r w:rsidRPr="0058758A">
        <w:t>Le délai maximal autorisé est décompté à partir du jour et de l’heure du signalement par INRAE aux services du titulaire, tel que décrit au paragraphe « Mesure de la durée d’arrêt ».</w:t>
      </w:r>
    </w:p>
    <w:p w14:paraId="2306AC85" w14:textId="77777777" w:rsidR="00A26305" w:rsidRPr="0058758A" w:rsidRDefault="00A26305" w:rsidP="00A26305">
      <w:r w:rsidRPr="0058758A">
        <w:t>Le titulaire devra minimiser son délai d’intervention afin de ne pas dégrader le taux de disponibilité de l’équipement.</w:t>
      </w:r>
    </w:p>
    <w:p w14:paraId="2C3B3388" w14:textId="77777777" w:rsidR="000E3328" w:rsidRPr="0058758A" w:rsidRDefault="000E3328" w:rsidP="009D5209">
      <w:pPr>
        <w:pStyle w:val="Titre2"/>
        <w:rPr>
          <w:rFonts w:ascii="AvenirNext LT Pro Cn" w:hAnsi="AvenirNext LT Pro Cn"/>
          <w:sz w:val="22"/>
          <w:szCs w:val="22"/>
        </w:rPr>
      </w:pPr>
      <w:bookmarkStart w:id="78" w:name="_Toc190693432"/>
      <w:r w:rsidRPr="0058758A">
        <w:rPr>
          <w:rFonts w:ascii="AvenirNext LT Pro Cn" w:hAnsi="AvenirNext LT Pro Cn"/>
          <w:sz w:val="22"/>
          <w:szCs w:val="22"/>
        </w:rPr>
        <w:t>– Emballage et transport</w:t>
      </w:r>
      <w:bookmarkEnd w:id="78"/>
    </w:p>
    <w:p w14:paraId="4CEEF5C0" w14:textId="77777777" w:rsidR="00A26305" w:rsidRPr="0058758A" w:rsidRDefault="00A26305" w:rsidP="00A26305">
      <w:r w:rsidRPr="0058758A">
        <w:t>Les inscriptions sur les emballages livrés au titre du présent marché doivent être libellées en français, en application de la loi n°94-665 du 4 août 1994 et sa circulaire du 19 mars 1996, publiée au Journal Officiel du 20 mars 1996.</w:t>
      </w:r>
    </w:p>
    <w:p w14:paraId="06569235" w14:textId="77777777" w:rsidR="00A26305" w:rsidRPr="0058758A" w:rsidRDefault="00A26305" w:rsidP="00A26305">
      <w:r w:rsidRPr="0058758A">
        <w:t>Les risques afférents au transport et à la livraison de l’équipement sont à la charge du titulaire.</w:t>
      </w:r>
    </w:p>
    <w:p w14:paraId="4233AB5C" w14:textId="77777777" w:rsidR="00A26305" w:rsidRPr="0058758A" w:rsidRDefault="00A26305" w:rsidP="00A26305">
      <w:r w:rsidRPr="0058758A">
        <w:t>La récupération des emballages relatifs aux matériels livrés est à la charge du titulaire.</w:t>
      </w:r>
    </w:p>
    <w:p w14:paraId="5341B36D" w14:textId="77777777" w:rsidR="00A26305" w:rsidRPr="0058758A" w:rsidRDefault="00A26305" w:rsidP="00A26305">
      <w:pPr>
        <w:rPr>
          <w:b/>
        </w:rPr>
      </w:pPr>
      <w:r w:rsidRPr="0058758A">
        <w:rPr>
          <w:b/>
        </w:rPr>
        <w:t>Le titulaire est incité à utiliser un emballage respectueux de l’environnement, notamment :</w:t>
      </w:r>
    </w:p>
    <w:p w14:paraId="1A8D2F9F" w14:textId="77777777" w:rsidR="00A26305" w:rsidRPr="0058758A" w:rsidRDefault="00A26305" w:rsidP="00A26305">
      <w:pPr>
        <w:pStyle w:val="Paragraphedeliste"/>
        <w:numPr>
          <w:ilvl w:val="0"/>
          <w:numId w:val="4"/>
        </w:numPr>
        <w:spacing w:before="40" w:after="40"/>
        <w:ind w:left="714" w:hanging="357"/>
      </w:pPr>
      <w:r w:rsidRPr="0058758A">
        <w:t>En utilisant des emballages pour lesquels les déchets produits lors de leur fabrication sont traités pour en réduire les impacts écologiques négatifs ;</w:t>
      </w:r>
    </w:p>
    <w:p w14:paraId="3568A421" w14:textId="77777777" w:rsidR="00A26305" w:rsidRPr="0058758A" w:rsidRDefault="00A26305" w:rsidP="00A26305">
      <w:pPr>
        <w:pStyle w:val="Paragraphedeliste"/>
        <w:numPr>
          <w:ilvl w:val="0"/>
          <w:numId w:val="4"/>
        </w:numPr>
        <w:spacing w:before="40" w:after="40"/>
        <w:ind w:left="714" w:hanging="357"/>
      </w:pPr>
      <w:r w:rsidRPr="0058758A">
        <w:t>En utilisant des emballages comprenant des matériaux recyclés ;</w:t>
      </w:r>
    </w:p>
    <w:p w14:paraId="0A6D56C4" w14:textId="77777777" w:rsidR="00A26305" w:rsidRPr="0058758A" w:rsidRDefault="00A26305" w:rsidP="00A26305">
      <w:pPr>
        <w:pStyle w:val="Paragraphedeliste"/>
        <w:numPr>
          <w:ilvl w:val="0"/>
          <w:numId w:val="4"/>
        </w:numPr>
        <w:spacing w:before="40" w:after="40"/>
        <w:ind w:left="714" w:hanging="357"/>
      </w:pPr>
      <w:r w:rsidRPr="0058758A">
        <w:t>En utilisant des emballages réutilisables ;</w:t>
      </w:r>
    </w:p>
    <w:p w14:paraId="1FA64957" w14:textId="77777777" w:rsidR="00A26305" w:rsidRPr="0058758A" w:rsidRDefault="00A26305" w:rsidP="00A26305">
      <w:pPr>
        <w:pStyle w:val="Paragraphedeliste"/>
        <w:numPr>
          <w:ilvl w:val="0"/>
          <w:numId w:val="4"/>
        </w:numPr>
        <w:spacing w:before="40" w:after="40"/>
        <w:ind w:left="714" w:hanging="357"/>
      </w:pPr>
      <w:r w:rsidRPr="0058758A">
        <w:t>En diminuant le volume d’emballage utilisé ;</w:t>
      </w:r>
    </w:p>
    <w:p w14:paraId="4958418E" w14:textId="77777777" w:rsidR="00A26305" w:rsidRPr="0058758A" w:rsidRDefault="00A26305" w:rsidP="00A26305">
      <w:pPr>
        <w:pStyle w:val="Paragraphedeliste"/>
        <w:numPr>
          <w:ilvl w:val="0"/>
          <w:numId w:val="4"/>
        </w:numPr>
        <w:spacing w:before="40" w:after="40"/>
        <w:ind w:left="714" w:hanging="357"/>
      </w:pPr>
      <w:r w:rsidRPr="0058758A">
        <w:t>En assurant le recyclage des emballages utilisés.</w:t>
      </w:r>
    </w:p>
    <w:p w14:paraId="59D7D234" w14:textId="77777777" w:rsidR="00A26305" w:rsidRPr="0058758A" w:rsidRDefault="00A26305" w:rsidP="00A26305">
      <w:pPr>
        <w:spacing w:before="40" w:after="40"/>
      </w:pPr>
    </w:p>
    <w:p w14:paraId="47A80B21" w14:textId="77777777" w:rsidR="00A26305" w:rsidRPr="0058758A" w:rsidRDefault="00A26305" w:rsidP="00A26305">
      <w:pPr>
        <w:spacing w:before="40" w:after="40"/>
      </w:pPr>
      <w:r w:rsidRPr="0058758A">
        <w:t>L</w:t>
      </w:r>
      <w:r w:rsidRPr="0058758A">
        <w:rPr>
          <w:b/>
        </w:rPr>
        <w:t>a prestation de transport peut également faire l’objet d’efforts écologiques de la part du titulaire, notamment :</w:t>
      </w:r>
    </w:p>
    <w:p w14:paraId="14BFBC98" w14:textId="77777777" w:rsidR="00A26305" w:rsidRPr="0058758A" w:rsidRDefault="00A26305" w:rsidP="00A26305">
      <w:pPr>
        <w:pStyle w:val="Paragraphedeliste"/>
        <w:numPr>
          <w:ilvl w:val="0"/>
          <w:numId w:val="4"/>
        </w:numPr>
        <w:spacing w:before="40" w:after="40"/>
      </w:pPr>
      <w:r w:rsidRPr="0058758A">
        <w:t>Si le délai de livraison le permet, en évitant le recours à l’avion ;</w:t>
      </w:r>
    </w:p>
    <w:p w14:paraId="1AB2D143" w14:textId="77777777" w:rsidR="00A26305" w:rsidRPr="0058758A" w:rsidRDefault="00A26305" w:rsidP="00A26305">
      <w:pPr>
        <w:pStyle w:val="Paragraphedeliste"/>
        <w:numPr>
          <w:ilvl w:val="0"/>
          <w:numId w:val="4"/>
        </w:numPr>
        <w:spacing w:before="40" w:after="40"/>
      </w:pPr>
      <w:r w:rsidRPr="0058758A">
        <w:t>En utilisant des véhicules économes en carburant traditionnel ;</w:t>
      </w:r>
    </w:p>
    <w:p w14:paraId="5912BA1A" w14:textId="77777777" w:rsidR="00A26305" w:rsidRPr="0058758A" w:rsidRDefault="00A26305" w:rsidP="00A26305">
      <w:pPr>
        <w:pStyle w:val="Paragraphedeliste"/>
        <w:numPr>
          <w:ilvl w:val="0"/>
          <w:numId w:val="4"/>
        </w:numPr>
        <w:spacing w:before="40" w:after="40"/>
      </w:pPr>
      <w:r w:rsidRPr="0058758A">
        <w:t>En utilisant des véhicules totalement ou partiellement électriques ou compatibles GPL ou GNV ;</w:t>
      </w:r>
    </w:p>
    <w:p w14:paraId="3E7A4B37" w14:textId="556F4696" w:rsidR="00A26305" w:rsidRPr="0058758A" w:rsidRDefault="00A26305" w:rsidP="00A26305">
      <w:pPr>
        <w:pStyle w:val="Paragraphedeliste"/>
        <w:numPr>
          <w:ilvl w:val="0"/>
          <w:numId w:val="4"/>
        </w:numPr>
        <w:spacing w:before="40" w:after="40"/>
      </w:pPr>
      <w:r w:rsidRPr="0058758A">
        <w:t>En recourant à des véhicules réduisant les nuisances sonores.</w:t>
      </w:r>
    </w:p>
    <w:p w14:paraId="63992BA6" w14:textId="77777777" w:rsidR="00AB563A" w:rsidRPr="0058758A" w:rsidRDefault="00AB563A" w:rsidP="009D5209">
      <w:pPr>
        <w:pStyle w:val="Titre2"/>
        <w:rPr>
          <w:rFonts w:ascii="AvenirNext LT Pro Cn" w:hAnsi="AvenirNext LT Pro Cn"/>
          <w:sz w:val="22"/>
          <w:szCs w:val="22"/>
        </w:rPr>
      </w:pPr>
      <w:bookmarkStart w:id="79" w:name="_Toc41990868"/>
      <w:bookmarkStart w:id="80" w:name="_Toc190693433"/>
      <w:r w:rsidRPr="0058758A">
        <w:rPr>
          <w:rFonts w:ascii="AvenirNext LT Pro Cn" w:hAnsi="AvenirNext LT Pro Cn"/>
          <w:sz w:val="22"/>
          <w:szCs w:val="22"/>
        </w:rPr>
        <w:t>– Livraison</w:t>
      </w:r>
      <w:bookmarkEnd w:id="79"/>
      <w:bookmarkEnd w:id="80"/>
    </w:p>
    <w:p w14:paraId="6EC38DD8" w14:textId="6AE09B30" w:rsidR="004B5016" w:rsidRPr="0058758A" w:rsidRDefault="004B5016" w:rsidP="007341C3">
      <w:r w:rsidRPr="0058758A">
        <w:t xml:space="preserve">Les livraisons doivent être effectuées aux heures d’ouverture </w:t>
      </w:r>
      <w:r w:rsidR="007341C3" w:rsidRPr="0058758A">
        <w:t>suivantes :</w:t>
      </w:r>
      <w:r w:rsidR="009A0D76" w:rsidRPr="0058758A">
        <w:t xml:space="preserve"> entre 9h et 17h</w:t>
      </w:r>
    </w:p>
    <w:p w14:paraId="5F381CE0" w14:textId="77777777" w:rsidR="00D91A59" w:rsidRPr="0058758A" w:rsidRDefault="007341C3" w:rsidP="00D91A59">
      <w:pPr>
        <w:jc w:val="left"/>
        <w:rPr>
          <w:rStyle w:val="fontstyle01"/>
          <w:rFonts w:ascii="AvenirNext LT Pro Cn" w:hAnsi="AvenirNext LT Pro Cn"/>
          <w:sz w:val="22"/>
          <w:szCs w:val="22"/>
        </w:rPr>
      </w:pPr>
      <w:r w:rsidRPr="0058758A">
        <w:t>et au lieu suivant :</w:t>
      </w:r>
      <w:r w:rsidR="009A0D76" w:rsidRPr="0058758A">
        <w:rPr>
          <w:rFonts w:eastAsia="Times New Roman" w:cstheme="minorHAnsi"/>
          <w:b/>
          <w:bCs/>
          <w:lang w:eastAsia="fr-FR"/>
        </w:rPr>
        <w:t xml:space="preserve"> </w:t>
      </w:r>
      <w:r w:rsidR="009A0D76" w:rsidRPr="0058758A">
        <w:rPr>
          <w:color w:val="000000"/>
        </w:rPr>
        <w:br/>
      </w:r>
    </w:p>
    <w:p w14:paraId="5F258251" w14:textId="67D1C1FE" w:rsidR="007341C3" w:rsidRPr="0058758A" w:rsidRDefault="009A0D76" w:rsidP="00D91A59">
      <w:pPr>
        <w:ind w:left="720"/>
        <w:jc w:val="left"/>
      </w:pPr>
      <w:r w:rsidRPr="0058758A">
        <w:rPr>
          <w:rStyle w:val="fontstyle01"/>
          <w:rFonts w:ascii="AvenirNext LT Pro Cn" w:hAnsi="AvenirNext LT Pro Cn"/>
          <w:sz w:val="22"/>
          <w:szCs w:val="22"/>
        </w:rPr>
        <w:t>INRAE UMR 1198 BREED</w:t>
      </w:r>
      <w:r w:rsidRPr="0058758A">
        <w:rPr>
          <w:color w:val="000000"/>
        </w:rPr>
        <w:br/>
      </w:r>
      <w:r w:rsidRPr="0058758A">
        <w:rPr>
          <w:rStyle w:val="fontstyle01"/>
          <w:rFonts w:ascii="AvenirNext LT Pro Cn" w:hAnsi="AvenirNext LT Pro Cn"/>
          <w:sz w:val="22"/>
          <w:szCs w:val="22"/>
        </w:rPr>
        <w:t xml:space="preserve">DOMAINE DE VILVERT BATIMENT </w:t>
      </w:r>
      <w:r w:rsidR="007A2941" w:rsidRPr="0058758A">
        <w:rPr>
          <w:rStyle w:val="fontstyle01"/>
          <w:rFonts w:ascii="AvenirNext LT Pro Cn" w:hAnsi="AvenirNext LT Pro Cn"/>
          <w:sz w:val="22"/>
          <w:szCs w:val="22"/>
        </w:rPr>
        <w:t>230</w:t>
      </w:r>
      <w:r w:rsidRPr="0058758A">
        <w:rPr>
          <w:color w:val="000000"/>
        </w:rPr>
        <w:br/>
      </w:r>
      <w:r w:rsidRPr="0058758A">
        <w:rPr>
          <w:rStyle w:val="fontstyle01"/>
          <w:rFonts w:ascii="AvenirNext LT Pro Cn" w:hAnsi="AvenirNext LT Pro Cn"/>
          <w:sz w:val="22"/>
          <w:szCs w:val="22"/>
        </w:rPr>
        <w:t>4 AVENUE JEAN JAURES</w:t>
      </w:r>
      <w:r w:rsidRPr="0058758A">
        <w:rPr>
          <w:color w:val="000000"/>
        </w:rPr>
        <w:br/>
      </w:r>
      <w:r w:rsidRPr="0058758A">
        <w:rPr>
          <w:rStyle w:val="fontstyle01"/>
          <w:rFonts w:ascii="AvenirNext LT Pro Cn" w:hAnsi="AvenirNext LT Pro Cn"/>
          <w:sz w:val="22"/>
          <w:szCs w:val="22"/>
        </w:rPr>
        <w:t>78352 JOUY-EN-JOSAS CEDEX</w:t>
      </w:r>
      <w:r w:rsidRPr="0058758A">
        <w:rPr>
          <w:color w:val="000000"/>
        </w:rPr>
        <w:br/>
      </w:r>
      <w:r w:rsidRPr="0058758A">
        <w:rPr>
          <w:rStyle w:val="fontstyle01"/>
          <w:rFonts w:ascii="AvenirNext LT Pro Cn" w:hAnsi="AvenirNext LT Pro Cn"/>
          <w:sz w:val="22"/>
          <w:szCs w:val="22"/>
        </w:rPr>
        <w:t>France</w:t>
      </w:r>
    </w:p>
    <w:p w14:paraId="0C487BD4" w14:textId="77777777" w:rsidR="004B5016" w:rsidRPr="0058758A" w:rsidRDefault="004B5016" w:rsidP="005C5233">
      <w:pPr>
        <w:spacing w:before="240"/>
      </w:pPr>
      <w:r w:rsidRPr="0058758A">
        <w:t xml:space="preserve">Par dérogation aux stipulations de l’article </w:t>
      </w:r>
      <w:r w:rsidR="003824D0" w:rsidRPr="0058758A">
        <w:t xml:space="preserve">19 </w:t>
      </w:r>
      <w:r w:rsidRPr="0058758A">
        <w:t xml:space="preserve">du CCAG-FCS, INRAE n’informe pas systématiquement le titulaire de la disponibilité des locaux destinés à l’installation du matériel, </w:t>
      </w:r>
      <w:r w:rsidR="003A6A99" w:rsidRPr="0058758A">
        <w:t xml:space="preserve">dans le délai de </w:t>
      </w:r>
      <w:r w:rsidRPr="0058758A">
        <w:t>quinze jours au moins, avant la livraison de celui-ci.</w:t>
      </w:r>
    </w:p>
    <w:p w14:paraId="53C31BF4" w14:textId="77777777" w:rsidR="004B5016" w:rsidRPr="0058758A" w:rsidRDefault="004B5016" w:rsidP="004B5016">
      <w:r w:rsidRPr="0058758A">
        <w:t xml:space="preserve">Par dérogation aux dispositions de l’article </w:t>
      </w:r>
      <w:r w:rsidR="003824D0" w:rsidRPr="0058758A">
        <w:t>21.2</w:t>
      </w:r>
      <w:r w:rsidRPr="0058758A">
        <w:t xml:space="preserve"> du CCAG-FCS, le bon de livraison doit faire apparaitre :</w:t>
      </w:r>
    </w:p>
    <w:p w14:paraId="7F14325C" w14:textId="77777777" w:rsidR="004B5016" w:rsidRPr="0058758A" w:rsidRDefault="004B5016" w:rsidP="001A72C8">
      <w:pPr>
        <w:pStyle w:val="Paragraphedeliste"/>
        <w:numPr>
          <w:ilvl w:val="0"/>
          <w:numId w:val="4"/>
        </w:numPr>
        <w:spacing w:before="40" w:after="0"/>
        <w:ind w:left="714" w:hanging="357"/>
      </w:pPr>
      <w:r w:rsidRPr="0058758A">
        <w:lastRenderedPageBreak/>
        <w:t>La date d’expédition</w:t>
      </w:r>
    </w:p>
    <w:p w14:paraId="44DCE1A4" w14:textId="77777777" w:rsidR="004B5016" w:rsidRPr="0058758A" w:rsidRDefault="004B5016" w:rsidP="001A72C8">
      <w:pPr>
        <w:pStyle w:val="Paragraphedeliste"/>
        <w:numPr>
          <w:ilvl w:val="0"/>
          <w:numId w:val="4"/>
        </w:numPr>
        <w:spacing w:before="40" w:after="0"/>
        <w:ind w:left="714" w:hanging="357"/>
      </w:pPr>
      <w:r w:rsidRPr="0058758A">
        <w:t>Le destinataire</w:t>
      </w:r>
    </w:p>
    <w:p w14:paraId="68C931E8" w14:textId="77777777" w:rsidR="004B5016" w:rsidRPr="0058758A" w:rsidRDefault="004B5016" w:rsidP="001A72C8">
      <w:pPr>
        <w:pStyle w:val="Paragraphedeliste"/>
        <w:numPr>
          <w:ilvl w:val="0"/>
          <w:numId w:val="4"/>
        </w:numPr>
        <w:spacing w:before="40" w:after="0"/>
        <w:ind w:left="714" w:hanging="357"/>
      </w:pPr>
      <w:r w:rsidRPr="0058758A">
        <w:t>L’adresse de livraison</w:t>
      </w:r>
    </w:p>
    <w:p w14:paraId="098C8F9D" w14:textId="77777777" w:rsidR="004B5016" w:rsidRPr="0058758A" w:rsidRDefault="004B5016" w:rsidP="001A72C8">
      <w:pPr>
        <w:pStyle w:val="Paragraphedeliste"/>
        <w:numPr>
          <w:ilvl w:val="0"/>
          <w:numId w:val="4"/>
        </w:numPr>
        <w:spacing w:before="40" w:after="0"/>
        <w:ind w:left="714" w:hanging="357"/>
      </w:pPr>
      <w:r w:rsidRPr="0058758A">
        <w:t>La référence du marché</w:t>
      </w:r>
    </w:p>
    <w:p w14:paraId="706E36F3" w14:textId="77777777" w:rsidR="004B5016" w:rsidRPr="0058758A" w:rsidRDefault="004B5016" w:rsidP="001A72C8">
      <w:pPr>
        <w:pStyle w:val="Paragraphedeliste"/>
        <w:numPr>
          <w:ilvl w:val="0"/>
          <w:numId w:val="4"/>
        </w:numPr>
        <w:spacing w:before="40" w:after="0"/>
        <w:ind w:left="714" w:hanging="357"/>
      </w:pPr>
      <w:r w:rsidRPr="0058758A">
        <w:t>L’identification du titulaire</w:t>
      </w:r>
    </w:p>
    <w:p w14:paraId="4F3EFBF7" w14:textId="77777777" w:rsidR="004B5016" w:rsidRPr="0058758A" w:rsidRDefault="004B5016" w:rsidP="001A72C8">
      <w:pPr>
        <w:pStyle w:val="Paragraphedeliste"/>
        <w:numPr>
          <w:ilvl w:val="0"/>
          <w:numId w:val="4"/>
        </w:numPr>
        <w:spacing w:before="40" w:after="0"/>
        <w:ind w:left="714" w:hanging="357"/>
      </w:pPr>
      <w:r w:rsidRPr="0058758A">
        <w:t>L’identification des fournitures livrées et, quand il y a lieu, leur répartition par colis</w:t>
      </w:r>
    </w:p>
    <w:p w14:paraId="3E551DF4" w14:textId="77777777" w:rsidR="004B5016" w:rsidRPr="0058758A" w:rsidRDefault="004B5016" w:rsidP="001A72C8">
      <w:pPr>
        <w:pStyle w:val="Paragraphedeliste"/>
        <w:numPr>
          <w:ilvl w:val="0"/>
          <w:numId w:val="4"/>
        </w:numPr>
        <w:spacing w:before="40" w:after="0"/>
        <w:ind w:left="714" w:hanging="357"/>
      </w:pPr>
      <w:r w:rsidRPr="0058758A">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58758A" w:rsidRDefault="00AB563A" w:rsidP="009D5209">
      <w:pPr>
        <w:pStyle w:val="Titre2"/>
        <w:rPr>
          <w:rFonts w:ascii="AvenirNext LT Pro Cn" w:hAnsi="AvenirNext LT Pro Cn"/>
          <w:sz w:val="22"/>
          <w:szCs w:val="22"/>
        </w:rPr>
      </w:pPr>
      <w:bookmarkStart w:id="81" w:name="_Toc41990869"/>
      <w:bookmarkStart w:id="82" w:name="_Toc190693434"/>
      <w:r w:rsidRPr="0058758A">
        <w:rPr>
          <w:rFonts w:ascii="AvenirNext LT Pro Cn" w:hAnsi="AvenirNext LT Pro Cn"/>
          <w:sz w:val="22"/>
          <w:szCs w:val="22"/>
        </w:rPr>
        <w:t>– Documentation à fournir</w:t>
      </w:r>
      <w:bookmarkEnd w:id="81"/>
      <w:bookmarkEnd w:id="82"/>
    </w:p>
    <w:p w14:paraId="3BA12C24" w14:textId="77777777" w:rsidR="00306FE6" w:rsidRPr="0058758A" w:rsidRDefault="00306FE6" w:rsidP="00306FE6">
      <w:r w:rsidRPr="0058758A">
        <w:t>Le titulaire s’engage à fournir la documentation suivante :</w:t>
      </w:r>
    </w:p>
    <w:p w14:paraId="3127397F" w14:textId="77777777" w:rsidR="00E34666" w:rsidRPr="0058758A" w:rsidRDefault="00E34666" w:rsidP="003946F1">
      <w:pPr>
        <w:pStyle w:val="Paragraphedeliste"/>
        <w:numPr>
          <w:ilvl w:val="0"/>
          <w:numId w:val="7"/>
        </w:numPr>
        <w:contextualSpacing/>
      </w:pPr>
      <w:r w:rsidRPr="0058758A">
        <w:t>Notice détaillée, si possible en langue française, précisant les modalités et les conditions d’utilisation de l’ensemble des fournitures livrées (équipement, logiciels)</w:t>
      </w:r>
    </w:p>
    <w:p w14:paraId="48D57D80" w14:textId="77777777" w:rsidR="00E34666" w:rsidRPr="0058758A" w:rsidRDefault="00E34666" w:rsidP="003946F1">
      <w:pPr>
        <w:pStyle w:val="Paragraphedeliste"/>
        <w:numPr>
          <w:ilvl w:val="0"/>
          <w:numId w:val="7"/>
        </w:numPr>
        <w:spacing w:after="240"/>
        <w:ind w:left="714" w:hanging="357"/>
        <w:contextualSpacing/>
      </w:pPr>
      <w:r w:rsidRPr="0058758A">
        <w:t>Certificats de conformité aux normes CE des fournitures</w:t>
      </w:r>
    </w:p>
    <w:p w14:paraId="413C7277" w14:textId="77777777" w:rsidR="00E34666" w:rsidRPr="0058758A" w:rsidRDefault="00E34666" w:rsidP="003946F1">
      <w:pPr>
        <w:pStyle w:val="Paragraphedeliste"/>
        <w:numPr>
          <w:ilvl w:val="0"/>
          <w:numId w:val="7"/>
        </w:numPr>
        <w:spacing w:after="240"/>
        <w:ind w:left="714" w:hanging="357"/>
        <w:contextualSpacing/>
      </w:pPr>
      <w:bookmarkStart w:id="83" w:name="_Hlk178168418"/>
      <w:r w:rsidRPr="0058758A">
        <w:t xml:space="preserve"> Manuel de formation des utilisateurs</w:t>
      </w:r>
    </w:p>
    <w:p w14:paraId="66FFF98A" w14:textId="77777777" w:rsidR="00E1299C" w:rsidRPr="0058758A" w:rsidRDefault="00E1299C" w:rsidP="009D5209">
      <w:pPr>
        <w:pStyle w:val="Titre2"/>
        <w:rPr>
          <w:rFonts w:ascii="AvenirNext LT Pro Cn" w:hAnsi="AvenirNext LT Pro Cn"/>
          <w:sz w:val="22"/>
          <w:szCs w:val="22"/>
        </w:rPr>
      </w:pPr>
      <w:bookmarkStart w:id="84" w:name="_Toc190693435"/>
      <w:bookmarkEnd w:id="83"/>
      <w:r w:rsidRPr="0058758A">
        <w:rPr>
          <w:rFonts w:ascii="AvenirNext LT Pro Cn" w:hAnsi="AvenirNext LT Pro Cn"/>
          <w:sz w:val="22"/>
          <w:szCs w:val="22"/>
        </w:rPr>
        <w:t>– Licence logiciel</w:t>
      </w:r>
      <w:bookmarkEnd w:id="84"/>
    </w:p>
    <w:p w14:paraId="05151D58" w14:textId="77777777" w:rsidR="00E1299C" w:rsidRPr="0058758A" w:rsidRDefault="00E1299C" w:rsidP="00E1299C">
      <w:r w:rsidRPr="0058758A">
        <w:t>Le titulaire s’engage à fournir pour les logiciels de traitement des données une licence de site multi-utilisateurs permanente dans sa dernière version. Les conditions de mise à jour et de changement de version sont décrites à l’article 11.</w:t>
      </w:r>
      <w:r w:rsidR="00065251" w:rsidRPr="0058758A">
        <w:t>2.</w:t>
      </w:r>
      <w:r w:rsidR="00200A87" w:rsidRPr="0058758A">
        <w:t>1</w:t>
      </w:r>
      <w:r w:rsidRPr="0058758A">
        <w:t xml:space="preserve"> du présent </w:t>
      </w:r>
      <w:r w:rsidR="004C6847" w:rsidRPr="0058758A">
        <w:t>AE</w:t>
      </w:r>
      <w:r w:rsidRPr="0058758A">
        <w:t>CCP.</w:t>
      </w:r>
    </w:p>
    <w:p w14:paraId="16137643" w14:textId="77777777" w:rsidR="004B5016" w:rsidRPr="0058758A" w:rsidRDefault="004B5016" w:rsidP="009D5209">
      <w:pPr>
        <w:pStyle w:val="Titre2"/>
        <w:rPr>
          <w:rFonts w:ascii="AvenirNext LT Pro Cn" w:hAnsi="AvenirNext LT Pro Cn"/>
          <w:sz w:val="22"/>
          <w:szCs w:val="22"/>
        </w:rPr>
      </w:pPr>
      <w:bookmarkStart w:id="85" w:name="_Toc190693436"/>
      <w:r w:rsidRPr="0058758A">
        <w:rPr>
          <w:rFonts w:ascii="AvenirNext LT Pro Cn" w:hAnsi="AvenirNext LT Pro Cn"/>
          <w:sz w:val="22"/>
          <w:szCs w:val="22"/>
        </w:rPr>
        <w:t>– Formation à l’utilisation et à la maintenance de l’équipement</w:t>
      </w:r>
      <w:bookmarkEnd w:id="85"/>
    </w:p>
    <w:p w14:paraId="1A18BED7" w14:textId="35FA4533" w:rsidR="005C5233" w:rsidRPr="0058758A" w:rsidRDefault="004B5016" w:rsidP="007A2941">
      <w:pPr>
        <w:rPr>
          <w:rFonts w:eastAsia="Times New Roman" w:cs="Arial"/>
          <w:color w:val="000000"/>
          <w:lang w:eastAsia="fr-FR"/>
        </w:rPr>
      </w:pPr>
      <w:bookmarkStart w:id="86" w:name="_Hlk178168477"/>
      <w:r w:rsidRPr="0058758A">
        <w:t xml:space="preserve">Le marché inclut, à la charge du titulaire, </w:t>
      </w:r>
      <w:r w:rsidR="007A2941" w:rsidRPr="0058758A">
        <w:rPr>
          <w:rFonts w:cstheme="majorHAnsi"/>
        </w:rPr>
        <w:t>la formation des utilisateurs au maniement des appareils et du logiciel d’exploitation.</w:t>
      </w:r>
      <w:r w:rsidR="005C5233" w:rsidRPr="0058758A">
        <w:rPr>
          <w:rFonts w:eastAsia="Times New Roman" w:cs="Arial"/>
          <w:color w:val="000000"/>
          <w:lang w:eastAsia="fr-FR"/>
        </w:rPr>
        <w:t xml:space="preserve"> </w:t>
      </w:r>
    </w:p>
    <w:p w14:paraId="10374351" w14:textId="6815C2B2" w:rsidR="005C5233" w:rsidRPr="0058758A" w:rsidRDefault="005C5233" w:rsidP="00E1299C">
      <w:r w:rsidRPr="0058758A">
        <w:t xml:space="preserve">Ces formations sont effectuées à l’issue de la mise en service de l’équipement. </w:t>
      </w:r>
    </w:p>
    <w:p w14:paraId="525FEB1B" w14:textId="25AB726F" w:rsidR="00065251" w:rsidRPr="0058758A" w:rsidRDefault="00E1299C" w:rsidP="00E1299C">
      <w:r w:rsidRPr="0058758A">
        <w:t xml:space="preserve">Les lieux et dates de réalisation des formations sont précisés par INRAE après la notification du marché. </w:t>
      </w:r>
    </w:p>
    <w:p w14:paraId="44CB4F4A" w14:textId="77777777" w:rsidR="008C32FD" w:rsidRPr="0058758A" w:rsidRDefault="008C32FD" w:rsidP="009D5209">
      <w:pPr>
        <w:pStyle w:val="Titre2"/>
        <w:rPr>
          <w:rFonts w:ascii="AvenirNext LT Pro Cn" w:hAnsi="AvenirNext LT Pro Cn"/>
          <w:sz w:val="22"/>
          <w:szCs w:val="22"/>
        </w:rPr>
      </w:pPr>
      <w:bookmarkStart w:id="87" w:name="_Toc190693437"/>
      <w:bookmarkEnd w:id="86"/>
      <w:r w:rsidRPr="0058758A">
        <w:rPr>
          <w:rFonts w:ascii="AvenirNext LT Pro Cn" w:hAnsi="AvenirNext LT Pro Cn"/>
          <w:sz w:val="22"/>
          <w:szCs w:val="22"/>
        </w:rPr>
        <w:t>– Brevets et licences</w:t>
      </w:r>
      <w:bookmarkEnd w:id="87"/>
    </w:p>
    <w:p w14:paraId="46AD939D" w14:textId="77777777" w:rsidR="008C32FD" w:rsidRPr="0058758A" w:rsidRDefault="008C32FD" w:rsidP="00E1299C">
      <w:r w:rsidRPr="0058758A">
        <w:t>Le titulaire s’engage à être à jour du règlement des redevances dues au titre des brevets et licences d’exploitation des matériels distribués.</w:t>
      </w:r>
    </w:p>
    <w:p w14:paraId="0C04BDB0" w14:textId="77777777" w:rsidR="008C32FD" w:rsidRPr="0058758A" w:rsidRDefault="008C32FD" w:rsidP="009D5209">
      <w:pPr>
        <w:pStyle w:val="Titre2"/>
        <w:rPr>
          <w:rFonts w:ascii="AvenirNext LT Pro Cn" w:hAnsi="AvenirNext LT Pro Cn"/>
          <w:sz w:val="22"/>
          <w:szCs w:val="22"/>
        </w:rPr>
      </w:pPr>
      <w:bookmarkStart w:id="88" w:name="_Toc190693438"/>
      <w:r w:rsidRPr="0058758A">
        <w:rPr>
          <w:rFonts w:ascii="AvenirNext LT Pro Cn" w:hAnsi="AvenirNext LT Pro Cn"/>
          <w:sz w:val="22"/>
          <w:szCs w:val="22"/>
        </w:rPr>
        <w:t xml:space="preserve">– Dispositions en cas de </w:t>
      </w:r>
      <w:proofErr w:type="spellStart"/>
      <w:r w:rsidRPr="0058758A">
        <w:rPr>
          <w:rFonts w:ascii="AvenirNext LT Pro Cn" w:hAnsi="AvenirNext LT Pro Cn"/>
          <w:sz w:val="22"/>
          <w:szCs w:val="22"/>
        </w:rPr>
        <w:t>quench</w:t>
      </w:r>
      <w:proofErr w:type="spellEnd"/>
      <w:r w:rsidRPr="0058758A">
        <w:rPr>
          <w:rFonts w:ascii="AvenirNext LT Pro Cn" w:hAnsi="AvenirNext LT Pro Cn"/>
          <w:sz w:val="22"/>
          <w:szCs w:val="22"/>
        </w:rPr>
        <w:t xml:space="preserve"> (spectromètres</w:t>
      </w:r>
      <w:r w:rsidR="00890070" w:rsidRPr="0058758A">
        <w:rPr>
          <w:rFonts w:ascii="AvenirNext LT Pro Cn" w:hAnsi="AvenirNext LT Pro Cn"/>
          <w:sz w:val="22"/>
          <w:szCs w:val="22"/>
        </w:rPr>
        <w:t>)</w:t>
      </w:r>
      <w:bookmarkEnd w:id="88"/>
    </w:p>
    <w:p w14:paraId="2CEDBFA3" w14:textId="77777777" w:rsidR="00123D4B" w:rsidRPr="0058758A" w:rsidRDefault="00123D4B" w:rsidP="00E1299C">
      <w:r w:rsidRPr="0058758A">
        <w:t>Sans objet.</w:t>
      </w:r>
    </w:p>
    <w:p w14:paraId="17E3DC70" w14:textId="5E2EC2CF" w:rsidR="00DF11EF" w:rsidRPr="0058758A" w:rsidRDefault="00DF11EF" w:rsidP="009D5209">
      <w:pPr>
        <w:pStyle w:val="Titre2"/>
        <w:rPr>
          <w:rFonts w:ascii="AvenirNext LT Pro Cn" w:hAnsi="AvenirNext LT Pro Cn"/>
          <w:sz w:val="22"/>
          <w:szCs w:val="22"/>
        </w:rPr>
      </w:pPr>
      <w:bookmarkStart w:id="89" w:name="_Toc190693439"/>
      <w:r w:rsidRPr="0058758A">
        <w:rPr>
          <w:rFonts w:ascii="AvenirNext LT Pro Cn" w:hAnsi="AvenirNext LT Pro Cn"/>
          <w:sz w:val="22"/>
          <w:szCs w:val="22"/>
        </w:rPr>
        <w:t>– Sous-traitance</w:t>
      </w:r>
      <w:bookmarkEnd w:id="89"/>
    </w:p>
    <w:p w14:paraId="1F66F9A7" w14:textId="3917AE06" w:rsidR="00DF11EF" w:rsidRPr="0058758A" w:rsidRDefault="00DF11EF" w:rsidP="00E1299C">
      <w:r w:rsidRPr="0058758A">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58758A" w:rsidRDefault="00DF11EF" w:rsidP="00DF11EF">
      <w:pPr>
        <w:autoSpaceDE w:val="0"/>
        <w:autoSpaceDN w:val="0"/>
        <w:adjustRightInd w:val="0"/>
        <w:spacing w:before="0" w:after="0"/>
      </w:pPr>
      <w:r w:rsidRPr="0058758A">
        <w:lastRenderedPageBreak/>
        <w:t xml:space="preserve">Le DC4 </w:t>
      </w:r>
      <w:r w:rsidR="00DE67AF" w:rsidRPr="0058758A">
        <w:t>(</w:t>
      </w:r>
      <w:hyperlink r:id="rId11" w:history="1">
        <w:r w:rsidRPr="0058758A">
          <w:rPr>
            <w:color w:val="0000FF"/>
            <w:u w:val="single"/>
          </w:rPr>
          <w:t>Les formulaires de déclaration du candidat | economie.gouv.fr</w:t>
        </w:r>
      </w:hyperlink>
      <w:r w:rsidR="00DE67AF" w:rsidRPr="0058758A">
        <w:t xml:space="preserve">) </w:t>
      </w:r>
      <w:r w:rsidRPr="0058758A">
        <w:t xml:space="preserve">doit être envoyé par le titulaire </w:t>
      </w:r>
      <w:r w:rsidR="00DE67AF" w:rsidRPr="0058758A">
        <w:t>à INRAE</w:t>
      </w:r>
      <w:r w:rsidRPr="0058758A">
        <w:t xml:space="preserve">, en main propre contre récépissé ou par lettre recommandée avec avis de réception ou par tout autre moyen permettant d’en attester la date et heure de réception. </w:t>
      </w:r>
    </w:p>
    <w:p w14:paraId="20F70BCE" w14:textId="5465D2DD" w:rsidR="00DF11EF" w:rsidRPr="0058758A" w:rsidRDefault="00DF11EF" w:rsidP="00DE67AF">
      <w:pPr>
        <w:autoSpaceDE w:val="0"/>
        <w:autoSpaceDN w:val="0"/>
        <w:adjustRightInd w:val="0"/>
        <w:spacing w:after="0"/>
      </w:pPr>
      <w:r w:rsidRPr="0058758A">
        <w:t xml:space="preserve">Le </w:t>
      </w:r>
      <w:r w:rsidR="00DE67AF" w:rsidRPr="0058758A">
        <w:t>t</w:t>
      </w:r>
      <w:r w:rsidRPr="0058758A">
        <w:t xml:space="preserve">itulaire avise ses sous-traitants de ce que les obligations énoncées notamment aux articles L.2193-2 à L.2193-14 du même code leur sont applicables et reste responsable du respect de celles-ci envers </w:t>
      </w:r>
      <w:r w:rsidR="00DE67AF" w:rsidRPr="0058758A">
        <w:t>INRAE</w:t>
      </w:r>
      <w:r w:rsidRPr="0058758A">
        <w:t xml:space="preserve">. </w:t>
      </w:r>
    </w:p>
    <w:p w14:paraId="6E11AC11" w14:textId="7991F1A4" w:rsidR="00DF11EF" w:rsidRPr="0058758A" w:rsidRDefault="00DF11EF" w:rsidP="00DF11EF">
      <w:r w:rsidRPr="0058758A">
        <w:t xml:space="preserve">En tout état de cause, le </w:t>
      </w:r>
      <w:r w:rsidR="00DE67AF" w:rsidRPr="0058758A">
        <w:t>t</w:t>
      </w:r>
      <w:r w:rsidRPr="0058758A">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rsidRPr="0058758A">
        <w:t>t</w:t>
      </w:r>
      <w:r w:rsidRPr="0058758A">
        <w:t xml:space="preserve">itulaire est lui-même soumis aux termes du présent </w:t>
      </w:r>
      <w:r w:rsidR="00DE67AF" w:rsidRPr="0058758A">
        <w:t>marché</w:t>
      </w:r>
      <w:r w:rsidRPr="0058758A">
        <w:t>.</w:t>
      </w:r>
    </w:p>
    <w:p w14:paraId="3C5E8239" w14:textId="77777777" w:rsidR="009B2D4B" w:rsidRPr="0058758A" w:rsidRDefault="009B2D4B" w:rsidP="009B2D4B">
      <w:pPr>
        <w:pStyle w:val="Default"/>
        <w:rPr>
          <w:rFonts w:ascii="AvenirNext LT Pro Cn" w:eastAsiaTheme="minorEastAsia" w:hAnsi="AvenirNext LT Pro Cn" w:cs="Arial"/>
          <w:color w:val="00A6A3"/>
          <w:sz w:val="22"/>
          <w:szCs w:val="22"/>
          <w:lang w:eastAsia="en-US"/>
        </w:rPr>
      </w:pPr>
      <w:r w:rsidRPr="0058758A">
        <w:rPr>
          <w:rFonts w:ascii="AvenirNext LT Pro Cn" w:hAnsi="AvenirNext LT Pro Cn"/>
          <w:b/>
          <w:bCs/>
          <w:color w:val="00A6A3"/>
          <w:sz w:val="22"/>
          <w:szCs w:val="22"/>
        </w:rPr>
        <w:t xml:space="preserve">Paiement direct du sous-traitant </w:t>
      </w:r>
      <w:r w:rsidRPr="0058758A">
        <w:rPr>
          <w:rFonts w:ascii="AvenirNext LT Pro Cn" w:hAnsi="AvenirNext LT Pro Cn"/>
          <w:color w:val="00A6A3"/>
          <w:sz w:val="22"/>
          <w:szCs w:val="22"/>
        </w:rPr>
        <w:t xml:space="preserve">: </w:t>
      </w:r>
    </w:p>
    <w:p w14:paraId="1B8414A8" w14:textId="77777777" w:rsidR="009B2D4B" w:rsidRPr="0058758A" w:rsidRDefault="009B2D4B" w:rsidP="009B2D4B">
      <w:pPr>
        <w:pStyle w:val="Default"/>
        <w:spacing w:before="120"/>
        <w:jc w:val="both"/>
        <w:rPr>
          <w:rFonts w:ascii="AvenirNext LT Pro Cn" w:eastAsiaTheme="minorHAnsi" w:hAnsi="AvenirNext LT Pro Cn" w:cstheme="minorBidi"/>
          <w:color w:val="auto"/>
          <w:sz w:val="22"/>
          <w:szCs w:val="22"/>
          <w:lang w:eastAsia="en-US"/>
        </w:rPr>
      </w:pPr>
      <w:r w:rsidRPr="0058758A">
        <w:rPr>
          <w:rFonts w:ascii="AvenirNext LT Pro Cn" w:eastAsiaTheme="minorHAnsi" w:hAnsi="AvenirNext LT Pro Cn" w:cstheme="minorBidi"/>
          <w:color w:val="auto"/>
          <w:sz w:val="22"/>
          <w:szCs w:val="22"/>
          <w:lang w:eastAsia="en-US"/>
        </w:rPr>
        <w:t xml:space="preserve">Le sous-traitant a droit à un </w:t>
      </w:r>
      <w:r w:rsidRPr="0058758A">
        <w:rPr>
          <w:rFonts w:ascii="AvenirNext LT Pro Cn" w:eastAsiaTheme="minorHAnsi" w:hAnsi="AvenirNext LT Pro Cn" w:cstheme="minorBidi"/>
          <w:b/>
          <w:color w:val="auto"/>
          <w:sz w:val="22"/>
          <w:szCs w:val="22"/>
          <w:lang w:eastAsia="en-US"/>
        </w:rPr>
        <w:t>paiement direct</w:t>
      </w:r>
      <w:r w:rsidRPr="0058758A">
        <w:rPr>
          <w:rFonts w:ascii="AvenirNext LT Pro Cn" w:eastAsiaTheme="minorHAnsi" w:hAnsi="AvenirNext LT Pro Cn" w:cstheme="minorBidi"/>
          <w:color w:val="auto"/>
          <w:sz w:val="22"/>
          <w:szCs w:val="22"/>
          <w:lang w:eastAsia="en-US"/>
        </w:rPr>
        <w:t xml:space="preserve"> pour des prestations supérieures à 600 €TTC. </w:t>
      </w:r>
    </w:p>
    <w:p w14:paraId="10B687C5" w14:textId="65D79BE2" w:rsidR="009B2D4B" w:rsidRPr="0058758A" w:rsidRDefault="009B2D4B" w:rsidP="009B2D4B">
      <w:pPr>
        <w:pStyle w:val="Default"/>
        <w:spacing w:before="120"/>
        <w:jc w:val="both"/>
        <w:rPr>
          <w:rFonts w:ascii="AvenirNext LT Pro Cn" w:hAnsi="AvenirNext LT Pro Cn"/>
          <w:color w:val="auto"/>
          <w:sz w:val="22"/>
          <w:szCs w:val="22"/>
        </w:rPr>
      </w:pPr>
      <w:r w:rsidRPr="0058758A">
        <w:rPr>
          <w:rFonts w:ascii="AvenirNext LT Pro Cn" w:eastAsiaTheme="minorHAnsi" w:hAnsi="AvenirNext LT Pro Cn" w:cstheme="minorBidi"/>
          <w:color w:val="auto"/>
          <w:sz w:val="22"/>
          <w:szCs w:val="22"/>
          <w:lang w:eastAsia="en-US"/>
        </w:rPr>
        <w:t xml:space="preserve">Selon les dispositions de l’article R2193-16 du CCP, le sous-traitant dépose sa demande de paiement sans autre formalité, au format </w:t>
      </w:r>
      <w:proofErr w:type="spellStart"/>
      <w:r w:rsidRPr="0058758A">
        <w:rPr>
          <w:rFonts w:ascii="AvenirNext LT Pro Cn" w:eastAsiaTheme="minorHAnsi" w:hAnsi="AvenirNext LT Pro Cn" w:cstheme="minorBidi"/>
          <w:color w:val="auto"/>
          <w:sz w:val="22"/>
          <w:szCs w:val="22"/>
          <w:lang w:eastAsia="en-US"/>
        </w:rPr>
        <w:t>pdf</w:t>
      </w:r>
      <w:proofErr w:type="spellEnd"/>
      <w:r w:rsidRPr="0058758A">
        <w:rPr>
          <w:rFonts w:ascii="AvenirNext LT Pro Cn" w:eastAsiaTheme="minorHAnsi" w:hAnsi="AvenirNext LT Pro Cn" w:cstheme="minorBidi"/>
          <w:color w:val="auto"/>
          <w:sz w:val="22"/>
          <w:szCs w:val="22"/>
          <w:lang w:eastAsia="en-US"/>
        </w:rPr>
        <w:t>. sur le site</w:t>
      </w:r>
      <w:r w:rsidRPr="0058758A">
        <w:rPr>
          <w:rFonts w:ascii="AvenirNext LT Pro Cn" w:hAnsi="AvenirNext LT Pro Cn"/>
          <w:color w:val="auto"/>
          <w:sz w:val="22"/>
          <w:szCs w:val="22"/>
        </w:rPr>
        <w:t xml:space="preserve"> : </w:t>
      </w:r>
      <w:hyperlink r:id="rId12" w:history="1">
        <w:r w:rsidRPr="0058758A">
          <w:rPr>
            <w:rStyle w:val="Lienhypertexte"/>
            <w:rFonts w:ascii="AvenirNext LT Pro Cn" w:hAnsi="AvenirNext LT Pro Cn"/>
            <w:sz w:val="22"/>
            <w:szCs w:val="22"/>
          </w:rPr>
          <w:t>https://chorus-pro.gouv.fr</w:t>
        </w:r>
      </w:hyperlink>
      <w:r w:rsidRPr="0058758A">
        <w:rPr>
          <w:rFonts w:ascii="AvenirNext LT Pro Cn" w:hAnsi="AvenirNext LT Pro Cn"/>
          <w:color w:val="auto"/>
          <w:sz w:val="22"/>
          <w:szCs w:val="22"/>
        </w:rPr>
        <w:t>.</w:t>
      </w:r>
    </w:p>
    <w:p w14:paraId="458359D9" w14:textId="77777777" w:rsidR="009B2D4B" w:rsidRPr="0058758A" w:rsidRDefault="009B2D4B" w:rsidP="009B2D4B">
      <w:pPr>
        <w:autoSpaceDE w:val="0"/>
        <w:autoSpaceDN w:val="0"/>
        <w:adjustRightInd w:val="0"/>
        <w:spacing w:after="0"/>
      </w:pPr>
      <w:r w:rsidRPr="0058758A">
        <w:t>Le titulaire dispose de quinze jours à compter de ce dépôt pour accepter ou refuser la demande de paiement sur ce portail.</w:t>
      </w:r>
    </w:p>
    <w:p w14:paraId="5B1AA608" w14:textId="77777777" w:rsidR="009B2D4B" w:rsidRPr="0058758A" w:rsidRDefault="009B2D4B" w:rsidP="009B2D4B">
      <w:pPr>
        <w:autoSpaceDE w:val="0"/>
        <w:autoSpaceDN w:val="0"/>
        <w:adjustRightInd w:val="0"/>
        <w:spacing w:after="0"/>
      </w:pPr>
      <w:r w:rsidRPr="0058758A">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257DC510" w14:textId="724DC7EE" w:rsidR="009B2D4B" w:rsidRPr="0058758A" w:rsidRDefault="009B2D4B" w:rsidP="009B2D4B">
      <w:pPr>
        <w:autoSpaceDE w:val="0"/>
        <w:autoSpaceDN w:val="0"/>
        <w:adjustRightInd w:val="0"/>
        <w:spacing w:after="0"/>
      </w:pPr>
    </w:p>
    <w:p w14:paraId="43343264" w14:textId="77777777" w:rsidR="00B3398C" w:rsidRPr="0058758A" w:rsidRDefault="00B3398C" w:rsidP="00585A54">
      <w:pPr>
        <w:pStyle w:val="Titre1"/>
        <w:spacing w:before="360" w:after="240"/>
        <w:ind w:left="357" w:hanging="357"/>
        <w:rPr>
          <w:rFonts w:ascii="AvenirNext LT Pro Cn" w:hAnsi="AvenirNext LT Pro Cn"/>
          <w:i/>
          <w:iCs/>
          <w:sz w:val="22"/>
          <w:szCs w:val="22"/>
        </w:rPr>
      </w:pPr>
      <w:bookmarkStart w:id="90" w:name="_Toc190693440"/>
      <w:r w:rsidRPr="0058758A">
        <w:rPr>
          <w:rFonts w:ascii="AvenirNext LT Pro Cn" w:hAnsi="AvenirNext LT Pro Cn"/>
          <w:sz w:val="22"/>
          <w:szCs w:val="22"/>
        </w:rPr>
        <w:t xml:space="preserve">DURÉE </w:t>
      </w:r>
      <w:r w:rsidR="00585A54" w:rsidRPr="0058758A">
        <w:rPr>
          <w:rFonts w:ascii="AvenirNext LT Pro Cn" w:hAnsi="AvenirNext LT Pro Cn"/>
          <w:sz w:val="22"/>
          <w:szCs w:val="22"/>
        </w:rPr>
        <w:t xml:space="preserve">ET DELAIS D’EXECUTION </w:t>
      </w:r>
      <w:r w:rsidRPr="0058758A">
        <w:rPr>
          <w:rFonts w:ascii="AvenirNext LT Pro Cn" w:hAnsi="AvenirNext LT Pro Cn"/>
          <w:sz w:val="22"/>
          <w:szCs w:val="22"/>
        </w:rPr>
        <w:t>DU MARCHÉ</w:t>
      </w:r>
      <w:bookmarkEnd w:id="90"/>
      <w:r w:rsidRPr="0058758A">
        <w:rPr>
          <w:rFonts w:ascii="AvenirNext LT Pro Cn" w:hAnsi="AvenirNext LT Pro Cn"/>
          <w:sz w:val="22"/>
          <w:szCs w:val="22"/>
        </w:rPr>
        <w:t xml:space="preserve"> </w:t>
      </w:r>
    </w:p>
    <w:p w14:paraId="447DF41B" w14:textId="77777777" w:rsidR="00AB563A" w:rsidRPr="0058758A" w:rsidRDefault="00AB563A" w:rsidP="009D5209">
      <w:pPr>
        <w:pStyle w:val="Titre2"/>
        <w:rPr>
          <w:rFonts w:ascii="AvenirNext LT Pro Cn" w:hAnsi="AvenirNext LT Pro Cn"/>
          <w:sz w:val="22"/>
          <w:szCs w:val="22"/>
        </w:rPr>
      </w:pPr>
      <w:bookmarkStart w:id="91" w:name="_Toc41990854"/>
      <w:bookmarkStart w:id="92" w:name="_Toc190693441"/>
      <w:r w:rsidRPr="0058758A">
        <w:rPr>
          <w:rFonts w:ascii="AvenirNext LT Pro Cn" w:hAnsi="AvenirNext LT Pro Cn"/>
          <w:sz w:val="22"/>
          <w:szCs w:val="22"/>
        </w:rPr>
        <w:t>– Durée du marché</w:t>
      </w:r>
      <w:bookmarkEnd w:id="91"/>
      <w:bookmarkEnd w:id="92"/>
    </w:p>
    <w:p w14:paraId="2F0A781E" w14:textId="77777777" w:rsidR="00AB563A" w:rsidRPr="0058758A" w:rsidRDefault="00AB563A" w:rsidP="00AB563A">
      <w:r w:rsidRPr="0058758A">
        <w:t>La durée du marché débute à sa date de notification et se termine à l’extinction du délai de garantie.</w:t>
      </w:r>
    </w:p>
    <w:p w14:paraId="313763CC" w14:textId="77777777" w:rsidR="00AB563A" w:rsidRPr="0058758A" w:rsidRDefault="00AB563A" w:rsidP="009D5209">
      <w:pPr>
        <w:pStyle w:val="Titre2"/>
        <w:rPr>
          <w:rFonts w:ascii="AvenirNext LT Pro Cn" w:hAnsi="AvenirNext LT Pro Cn"/>
          <w:sz w:val="22"/>
          <w:szCs w:val="22"/>
        </w:rPr>
      </w:pPr>
      <w:bookmarkStart w:id="93" w:name="page4"/>
      <w:bookmarkStart w:id="94" w:name="_Toc41990855"/>
      <w:bookmarkStart w:id="95" w:name="_Toc190693442"/>
      <w:bookmarkEnd w:id="93"/>
      <w:r w:rsidRPr="0058758A">
        <w:rPr>
          <w:rFonts w:ascii="AvenirNext LT Pro Cn" w:hAnsi="AvenirNext LT Pro Cn"/>
          <w:sz w:val="22"/>
          <w:szCs w:val="22"/>
        </w:rPr>
        <w:t>– Délai de livraison</w:t>
      </w:r>
      <w:bookmarkEnd w:id="94"/>
      <w:bookmarkEnd w:id="95"/>
    </w:p>
    <w:p w14:paraId="179B5922" w14:textId="4D0FF3AE" w:rsidR="00890070" w:rsidRPr="0058758A" w:rsidRDefault="00890070" w:rsidP="00890070">
      <w:r w:rsidRPr="0058758A">
        <w:t xml:space="preserve">Le délai de livraison est </w:t>
      </w:r>
      <w:r w:rsidR="00F33EA5">
        <w:t>celui</w:t>
      </w:r>
      <w:r w:rsidRPr="0058758A">
        <w:t xml:space="preserve"> indiqué par le titulaire dans son offre</w:t>
      </w:r>
      <w:r w:rsidR="0047471F" w:rsidRPr="0058758A">
        <w:t xml:space="preserve"> </w:t>
      </w:r>
      <w:r w:rsidR="00F33EA5">
        <w:t xml:space="preserve">mais idéalement ne doit pas dépasser 8 semaines à compter de la </w:t>
      </w:r>
      <w:r w:rsidRPr="0058758A">
        <w:t>date de réception du bon de commande par le titulaire.</w:t>
      </w:r>
    </w:p>
    <w:p w14:paraId="3DB7337C" w14:textId="77777777" w:rsidR="00AB563A" w:rsidRPr="0058758A" w:rsidRDefault="00AB563A" w:rsidP="009D5209">
      <w:pPr>
        <w:pStyle w:val="Titre2"/>
        <w:rPr>
          <w:rFonts w:ascii="AvenirNext LT Pro Cn" w:hAnsi="AvenirNext LT Pro Cn"/>
          <w:sz w:val="22"/>
          <w:szCs w:val="22"/>
        </w:rPr>
      </w:pPr>
      <w:bookmarkStart w:id="96" w:name="_Toc41990856"/>
      <w:bookmarkStart w:id="97" w:name="_Toc190693443"/>
      <w:r w:rsidRPr="0058758A">
        <w:rPr>
          <w:rFonts w:ascii="AvenirNext LT Pro Cn" w:hAnsi="AvenirNext LT Pro Cn"/>
          <w:sz w:val="22"/>
          <w:szCs w:val="22"/>
        </w:rPr>
        <w:t>- Prolongation du délai</w:t>
      </w:r>
      <w:bookmarkEnd w:id="96"/>
      <w:bookmarkEnd w:id="97"/>
    </w:p>
    <w:p w14:paraId="383EF67C" w14:textId="77777777" w:rsidR="00AB563A" w:rsidRPr="0058758A" w:rsidRDefault="00AB563A" w:rsidP="00AB563A">
      <w:r w:rsidRPr="0058758A">
        <w:t>Une prolongation du délai de livraison peut être accordée par le pouvoir adjudicateur dans les conditions de l’article 13.3 du CCAG-FCS.</w:t>
      </w:r>
    </w:p>
    <w:p w14:paraId="6282D61A" w14:textId="77777777" w:rsidR="00B3398C" w:rsidRPr="0058758A" w:rsidRDefault="003C23D4" w:rsidP="008630D8">
      <w:pPr>
        <w:pStyle w:val="Titre1"/>
        <w:rPr>
          <w:rFonts w:ascii="AvenirNext LT Pro Cn" w:hAnsi="AvenirNext LT Pro Cn"/>
          <w:sz w:val="22"/>
          <w:szCs w:val="22"/>
        </w:rPr>
      </w:pPr>
      <w:bookmarkStart w:id="98" w:name="_Toc190693444"/>
      <w:r w:rsidRPr="0058758A">
        <w:rPr>
          <w:rFonts w:ascii="AvenirNext LT Pro Cn" w:hAnsi="AvenirNext LT Pro Cn"/>
          <w:sz w:val="22"/>
          <w:szCs w:val="22"/>
        </w:rPr>
        <w:t xml:space="preserve">INSTALLATIONS, MISE EN </w:t>
      </w:r>
      <w:r w:rsidR="00F6358A" w:rsidRPr="0058758A">
        <w:rPr>
          <w:rFonts w:ascii="AvenirNext LT Pro Cn" w:hAnsi="AvenirNext LT Pro Cn"/>
          <w:sz w:val="22"/>
          <w:szCs w:val="22"/>
        </w:rPr>
        <w:t>ORDRE DE MARCHE</w:t>
      </w:r>
      <w:r w:rsidRPr="0058758A">
        <w:rPr>
          <w:rFonts w:ascii="AvenirNext LT Pro Cn" w:hAnsi="AvenirNext LT Pro Cn"/>
          <w:sz w:val="22"/>
          <w:szCs w:val="22"/>
        </w:rPr>
        <w:t xml:space="preserve">, </w:t>
      </w:r>
      <w:r w:rsidR="00B3398C" w:rsidRPr="0058758A">
        <w:rPr>
          <w:rFonts w:ascii="AvenirNext LT Pro Cn" w:hAnsi="AvenirNext LT Pro Cn"/>
          <w:sz w:val="22"/>
          <w:szCs w:val="22"/>
        </w:rPr>
        <w:t>VÉRIFICATION ET ADMISSION DES FOURNITURES</w:t>
      </w:r>
      <w:bookmarkEnd w:id="98"/>
      <w:r w:rsidR="00B3398C" w:rsidRPr="0058758A">
        <w:rPr>
          <w:rFonts w:ascii="AvenirNext LT Pro Cn" w:hAnsi="AvenirNext LT Pro Cn"/>
          <w:sz w:val="22"/>
          <w:szCs w:val="22"/>
        </w:rPr>
        <w:t xml:space="preserve"> </w:t>
      </w:r>
    </w:p>
    <w:p w14:paraId="505C823B" w14:textId="77777777" w:rsidR="003C23D4" w:rsidRPr="0058758A" w:rsidRDefault="003C23D4" w:rsidP="009D5209">
      <w:pPr>
        <w:pStyle w:val="Titre2"/>
        <w:rPr>
          <w:rFonts w:ascii="AvenirNext LT Pro Cn" w:hAnsi="AvenirNext LT Pro Cn"/>
          <w:sz w:val="22"/>
          <w:szCs w:val="22"/>
        </w:rPr>
      </w:pPr>
      <w:bookmarkStart w:id="99" w:name="_Toc190693445"/>
      <w:r w:rsidRPr="0058758A">
        <w:rPr>
          <w:rFonts w:ascii="AvenirNext LT Pro Cn" w:hAnsi="AvenirNext LT Pro Cn"/>
          <w:sz w:val="22"/>
          <w:szCs w:val="22"/>
        </w:rPr>
        <w:t xml:space="preserve">– Installation et mise en </w:t>
      </w:r>
      <w:r w:rsidR="00F6358A" w:rsidRPr="0058758A">
        <w:rPr>
          <w:rFonts w:ascii="AvenirNext LT Pro Cn" w:hAnsi="AvenirNext LT Pro Cn"/>
          <w:sz w:val="22"/>
          <w:szCs w:val="22"/>
        </w:rPr>
        <w:t>ordre de marche</w:t>
      </w:r>
      <w:bookmarkEnd w:id="99"/>
    </w:p>
    <w:p w14:paraId="07FCE2A9" w14:textId="77777777" w:rsidR="003C23D4" w:rsidRPr="0058758A" w:rsidRDefault="003C23D4" w:rsidP="003C23D4">
      <w:r w:rsidRPr="0058758A">
        <w:t xml:space="preserve">Le présent marché inclut à la charge du titulaire l’ensemble des prestations et fournitures nécessaires à l’installation et </w:t>
      </w:r>
      <w:r w:rsidR="00E41162" w:rsidRPr="0058758A">
        <w:t xml:space="preserve">à </w:t>
      </w:r>
      <w:r w:rsidRPr="0058758A">
        <w:t xml:space="preserve">la mise en </w:t>
      </w:r>
      <w:r w:rsidR="00F6358A" w:rsidRPr="0058758A">
        <w:t xml:space="preserve">ordre de marche (mise en </w:t>
      </w:r>
      <w:r w:rsidRPr="0058758A">
        <w:t>service opérationnelle</w:t>
      </w:r>
      <w:r w:rsidR="00F6358A" w:rsidRPr="0058758A">
        <w:t>)</w:t>
      </w:r>
      <w:r w:rsidRPr="0058758A">
        <w:t xml:space="preserve"> de l’équipement.</w:t>
      </w:r>
      <w:r w:rsidR="00F6358A" w:rsidRPr="0058758A">
        <w:t xml:space="preserve"> </w:t>
      </w:r>
    </w:p>
    <w:p w14:paraId="0B901CFA" w14:textId="77777777" w:rsidR="00F6358A" w:rsidRPr="0058758A" w:rsidRDefault="00F6358A" w:rsidP="003C23D4">
      <w:r w:rsidRPr="0058758A">
        <w:t xml:space="preserve">Le titulaire du présent marché notifiera à INRAE la mise en ordre de marche (MOM) de l’équipement, selon le modèle joint en annexe, par courrier ou mail. Cette notification lancera l’étape relative aux opérations de vérification. </w:t>
      </w:r>
    </w:p>
    <w:p w14:paraId="32B46369" w14:textId="77777777" w:rsidR="003C23D4" w:rsidRPr="0058758A" w:rsidRDefault="003C23D4" w:rsidP="009D5209">
      <w:pPr>
        <w:pStyle w:val="Titre2"/>
        <w:rPr>
          <w:rFonts w:ascii="AvenirNext LT Pro Cn" w:hAnsi="AvenirNext LT Pro Cn"/>
          <w:sz w:val="22"/>
          <w:szCs w:val="22"/>
        </w:rPr>
      </w:pPr>
      <w:bookmarkStart w:id="100" w:name="_Toc190693446"/>
      <w:r w:rsidRPr="0058758A">
        <w:rPr>
          <w:rFonts w:ascii="AvenirNext LT Pro Cn" w:hAnsi="AvenirNext LT Pro Cn"/>
          <w:sz w:val="22"/>
          <w:szCs w:val="22"/>
        </w:rPr>
        <w:lastRenderedPageBreak/>
        <w:t>– Opérations de vérification – Admission des prestations</w:t>
      </w:r>
      <w:bookmarkEnd w:id="100"/>
    </w:p>
    <w:p w14:paraId="4D567CA6" w14:textId="77777777" w:rsidR="00E701E9" w:rsidRPr="0058758A" w:rsidRDefault="00E701E9" w:rsidP="00E701E9">
      <w:r w:rsidRPr="0058758A">
        <w:t xml:space="preserve">Les opérations de vérification quantitative et qualitative sont effectuées par le représentant </w:t>
      </w:r>
      <w:r w:rsidR="00890070" w:rsidRPr="0058758A">
        <w:t>d’INRAE</w:t>
      </w:r>
      <w:r w:rsidRPr="0058758A">
        <w:t xml:space="preserve"> conformément aux dispositions prévues par les articles 27 à 33 du CCAG-FCS, excepté pour les points qui suivent.</w:t>
      </w:r>
    </w:p>
    <w:p w14:paraId="09F8CD6A" w14:textId="77777777" w:rsidR="00E701E9" w:rsidRPr="0058758A" w:rsidRDefault="00E701E9" w:rsidP="00E701E9">
      <w:r w:rsidRPr="0058758A">
        <w:t xml:space="preserve">Les opérations de vérification, ainsi que les décisions d'admission, d'ajournement, de réfaction ou de rejet sont effectuées par </w:t>
      </w:r>
      <w:r w:rsidR="00795056" w:rsidRPr="0058758A">
        <w:t>INRAE</w:t>
      </w:r>
      <w:r w:rsidRPr="0058758A">
        <w:t>.</w:t>
      </w:r>
    </w:p>
    <w:p w14:paraId="28ED1E92" w14:textId="77777777" w:rsidR="0042556F" w:rsidRPr="0058758A" w:rsidRDefault="00E41162" w:rsidP="00E701E9">
      <w:r w:rsidRPr="0058758A">
        <w:t>Par dérogation à l’article 28 du CCAG-FCS, les opérations de vérification démarrent à compter de la date de</w:t>
      </w:r>
      <w:r w:rsidR="00632DB7" w:rsidRPr="0058758A">
        <w:t xml:space="preserve"> notification de</w:t>
      </w:r>
      <w:r w:rsidRPr="0058758A">
        <w:t xml:space="preserve"> mise en </w:t>
      </w:r>
      <w:r w:rsidR="00632DB7" w:rsidRPr="0058758A">
        <w:t>ordre</w:t>
      </w:r>
      <w:r w:rsidRPr="0058758A">
        <w:t xml:space="preserve"> de l’équipement par le titulaire, </w:t>
      </w:r>
      <w:r w:rsidR="009441CC" w:rsidRPr="0058758A">
        <w:t xml:space="preserve">sous sa responsabilité et sans supplément de prix, </w:t>
      </w:r>
      <w:r w:rsidRPr="0058758A">
        <w:t>en conformité avec les performances techniques et fonctionnelles spécifiées dans le présent marché</w:t>
      </w:r>
      <w:r w:rsidR="009441CC" w:rsidRPr="0058758A">
        <w:t>, dans les locaux désignés par INRAE.</w:t>
      </w:r>
    </w:p>
    <w:p w14:paraId="2BBA9052" w14:textId="77777777" w:rsidR="00E41162" w:rsidRPr="0058758A" w:rsidRDefault="00E41162" w:rsidP="00E41162">
      <w:r w:rsidRPr="0058758A">
        <w:t>Par dérogation aux stipulations de l’article 27.2.2 du CCAG FCS, INRAE n’avise pas automatiquement le titulaire des jours et heures fixés pour les vérifications.</w:t>
      </w:r>
    </w:p>
    <w:p w14:paraId="60EE5EFB" w14:textId="77777777" w:rsidR="001F1FFA" w:rsidRPr="0058758A" w:rsidRDefault="001F1FFA" w:rsidP="00EB697A">
      <w:bookmarkStart w:id="101" w:name="page5"/>
      <w:bookmarkEnd w:id="101"/>
      <w:r w:rsidRPr="0058758A">
        <w:t>Les opérations de vérification qualitative se déroulent en deux étapes.</w:t>
      </w:r>
    </w:p>
    <w:p w14:paraId="33BEAC16" w14:textId="2F8F57B4" w:rsidR="007006C1" w:rsidRPr="0058758A" w:rsidRDefault="007006C1" w:rsidP="00EB697A">
      <w:pPr>
        <w:rPr>
          <w:b/>
        </w:rPr>
      </w:pPr>
      <w:r w:rsidRPr="0058758A">
        <w:rPr>
          <w:b/>
        </w:rPr>
        <w:t xml:space="preserve">Première étape : la vérification d’aptitude </w:t>
      </w:r>
    </w:p>
    <w:p w14:paraId="197405C1" w14:textId="21510CC3" w:rsidR="003B629B" w:rsidRPr="0058758A" w:rsidRDefault="003B629B" w:rsidP="00EB697A">
      <w:r w:rsidRPr="0058758A">
        <w:t xml:space="preserve">Par </w:t>
      </w:r>
      <w:r w:rsidR="006C5BAE" w:rsidRPr="0058758A">
        <w:t>dérogation à l’article 28.2 du CCAG-FCS, la vérification d’aptitude a pour but de constater que le matériel et les progiciels installés et mis en ordre de marche présentent les caractéristiques techniques qui les rendent aptes à remplir les fonctions précisées dans le cadre du présent marché.</w:t>
      </w:r>
    </w:p>
    <w:p w14:paraId="3D636457" w14:textId="2D027EB6" w:rsidR="006C5BAE" w:rsidRPr="0058758A" w:rsidRDefault="006C5BAE" w:rsidP="00EB697A">
      <w:pPr>
        <w:rPr>
          <w:color w:val="E36C0A" w:themeColor="accent6" w:themeShade="BF"/>
        </w:rPr>
      </w:pPr>
      <w:r w:rsidRPr="0058758A">
        <w:t>La vérification porte sur l’ensemble des matériels installés et mis en ordre de marche, accessoires inclus, tel que prévu au titre du présent marché</w:t>
      </w:r>
      <w:r w:rsidR="00B75269" w:rsidRPr="0058758A">
        <w:rPr>
          <w:color w:val="E36C0A" w:themeColor="accent6" w:themeShade="BF"/>
        </w:rPr>
        <w:t>.</w:t>
      </w:r>
    </w:p>
    <w:p w14:paraId="28E8E03B" w14:textId="77777777" w:rsidR="006C5BAE" w:rsidRPr="0058758A" w:rsidRDefault="00372D4F" w:rsidP="00372D4F">
      <w:r w:rsidRPr="0058758A">
        <w:t>Par dérogation à l'article 28</w:t>
      </w:r>
      <w:r w:rsidR="006C5BAE" w:rsidRPr="0058758A">
        <w:t>.2</w:t>
      </w:r>
      <w:r w:rsidRPr="0058758A">
        <w:t xml:space="preserve"> du CCAG-FCS, le délai dont dispose INRAE pour </w:t>
      </w:r>
      <w:r w:rsidR="006C5BAE" w:rsidRPr="0058758A">
        <w:t>formaliser un procès-verbal (PV) et notifier sa décision est de</w:t>
      </w:r>
      <w:r w:rsidRPr="0058758A">
        <w:t> trente (30) jours à compter de la mise en ordre de marche</w:t>
      </w:r>
      <w:r w:rsidR="006C5BAE" w:rsidRPr="0058758A">
        <w:t xml:space="preserve"> ou à la fin de la formation initiale des utilisateurs de l’équipement si celle-ci est postérieure à la mise en service</w:t>
      </w:r>
    </w:p>
    <w:p w14:paraId="4E1D5E7B" w14:textId="77777777" w:rsidR="006C5BAE" w:rsidRPr="0058758A" w:rsidRDefault="006C5BAE" w:rsidP="00372D4F">
      <w:r w:rsidRPr="0058758A">
        <w:t>Si la vérification d’aptitude est positive, INRAE procède à la vérification de service régulier (VSR)</w:t>
      </w:r>
    </w:p>
    <w:p w14:paraId="0E6FF57A" w14:textId="44ABD49E" w:rsidR="00372D4F" w:rsidRPr="0058758A" w:rsidRDefault="006C5BAE" w:rsidP="00372D4F">
      <w:r w:rsidRPr="0058758A">
        <w:t>Si la vérification d’aptitude est négative, INRAE prend une décision d’ajournement ou de rejet</w:t>
      </w:r>
      <w:r w:rsidR="00372D4F" w:rsidRPr="0058758A">
        <w:t>.</w:t>
      </w:r>
      <w:r w:rsidRPr="0058758A">
        <w:t xml:space="preserve"> En cas d’ajournement et/ou de rejet, le titulaire, après intervention sur le matériel, notifie une nouvelle mise en ordre de marche.</w:t>
      </w:r>
    </w:p>
    <w:p w14:paraId="240E6C5E" w14:textId="6E5E1C47" w:rsidR="007006C1" w:rsidRPr="0058758A" w:rsidRDefault="007006C1" w:rsidP="00606EB7">
      <w:pPr>
        <w:spacing w:before="240" w:after="240"/>
        <w:rPr>
          <w:b/>
        </w:rPr>
      </w:pPr>
      <w:r w:rsidRPr="0058758A">
        <w:rPr>
          <w:b/>
        </w:rPr>
        <w:t>Deuxième étape : la vérification de service régulier / Admission</w:t>
      </w:r>
    </w:p>
    <w:p w14:paraId="2B6FCDAD" w14:textId="2BC46211" w:rsidR="00D15E81" w:rsidRPr="0058758A" w:rsidRDefault="00D15E81" w:rsidP="008D0D10">
      <w:pPr>
        <w:spacing w:after="0"/>
        <w:rPr>
          <w:b/>
        </w:rPr>
      </w:pPr>
      <w:r w:rsidRPr="0058758A">
        <w:t>La vérification de service régulier a pour but de constater que le matériel et les progiciels fournis sont capables d'assurer un service régulier dans les conditions normales d'exploitation pour remplir les fonctions visées à l’article 27 du CCAG-FCS.</w:t>
      </w:r>
    </w:p>
    <w:p w14:paraId="40492384" w14:textId="1FE5E354" w:rsidR="00D15E81" w:rsidRPr="0058758A" w:rsidRDefault="00D15E81" w:rsidP="008D0D10">
      <w:pPr>
        <w:spacing w:after="0"/>
      </w:pPr>
      <w:r w:rsidRPr="0058758A">
        <w:t>La régularité du service s'observe à partir du jour où les éléments ont été déclarés aptes.</w:t>
      </w:r>
    </w:p>
    <w:p w14:paraId="514ED419" w14:textId="56A70CCC" w:rsidR="00D15E81" w:rsidRPr="0058758A" w:rsidRDefault="00D15E81" w:rsidP="008D0D10">
      <w:pPr>
        <w:spacing w:after="0"/>
      </w:pPr>
      <w:r w:rsidRPr="0058758A">
        <w:t xml:space="preserve">Par dérogation à l'article 28.2 du CCAG-FCS, le délai dont dispose </w:t>
      </w:r>
      <w:r w:rsidR="008D0D10" w:rsidRPr="0058758A">
        <w:t>INRAE</w:t>
      </w:r>
      <w:r w:rsidRPr="0058758A">
        <w:t xml:space="preserve"> pour formaliser un </w:t>
      </w:r>
      <w:r w:rsidR="008D0D10" w:rsidRPr="0058758A">
        <w:t>pr</w:t>
      </w:r>
      <w:r w:rsidRPr="0058758A">
        <w:t>ocès-</w:t>
      </w:r>
      <w:r w:rsidR="008D0D10" w:rsidRPr="0058758A">
        <w:t>v</w:t>
      </w:r>
      <w:r w:rsidRPr="0058758A">
        <w:t>erbal (PV)</w:t>
      </w:r>
      <w:r w:rsidR="008D0D10" w:rsidRPr="0058758A">
        <w:t>, sous réserve des vices cachés</w:t>
      </w:r>
      <w:r w:rsidR="003946F1" w:rsidRPr="0058758A">
        <w:t>,</w:t>
      </w:r>
      <w:r w:rsidR="008D0D10" w:rsidRPr="0058758A">
        <w:t xml:space="preserve"> </w:t>
      </w:r>
      <w:r w:rsidRPr="0058758A">
        <w:t>et notifier sa décision est de soixante (60) jours à compter de la décision de vérification d’aptitude</w:t>
      </w:r>
      <w:r w:rsidR="008D0D10" w:rsidRPr="0058758A">
        <w:t>.</w:t>
      </w:r>
    </w:p>
    <w:p w14:paraId="50202450" w14:textId="3D30FACB" w:rsidR="00D15E81" w:rsidRPr="0058758A" w:rsidRDefault="00D15E81" w:rsidP="008D0D10">
      <w:pPr>
        <w:spacing w:after="0"/>
        <w:rPr>
          <w:b/>
        </w:rPr>
      </w:pPr>
      <w:r w:rsidRPr="0058758A">
        <w:t>Le service est réputé régulier si la durée cumulée sur le délai de vérification du service régulier, des indisponibilités imputables à chaque élément de matériel ne dépasse pas 7,5% de la durée d'utilisation effective.</w:t>
      </w:r>
    </w:p>
    <w:p w14:paraId="63E7D97F" w14:textId="79D4F9A8" w:rsidR="003E43FE" w:rsidRPr="0058758A" w:rsidRDefault="003E43FE" w:rsidP="008D0D10">
      <w:pPr>
        <w:spacing w:after="0"/>
      </w:pPr>
      <w:r w:rsidRPr="0058758A">
        <w:t xml:space="preserve">Si les opérations de vérification de service régulier sont négatives, le pouvoir adjudicateur prononce l’ajournement, la réfaction ou le rejet de l’équipement dans les conditions décrites à l’article </w:t>
      </w:r>
      <w:r w:rsidR="00656A34" w:rsidRPr="0058758A">
        <w:t>30</w:t>
      </w:r>
      <w:r w:rsidRPr="0058758A">
        <w:t xml:space="preserve"> du CCAG- FCS.</w:t>
      </w:r>
    </w:p>
    <w:p w14:paraId="34D5CD2C" w14:textId="77777777" w:rsidR="001E21C7" w:rsidRPr="0058758A" w:rsidRDefault="001E21C7" w:rsidP="003B5365">
      <w:pPr>
        <w:pStyle w:val="Titre1"/>
        <w:spacing w:before="360" w:after="240"/>
        <w:ind w:left="357" w:hanging="357"/>
        <w:rPr>
          <w:rFonts w:ascii="AvenirNext LT Pro Cn" w:hAnsi="AvenirNext LT Pro Cn"/>
          <w:sz w:val="22"/>
          <w:szCs w:val="22"/>
        </w:rPr>
      </w:pPr>
      <w:bookmarkStart w:id="102" w:name="_Toc190693447"/>
      <w:r w:rsidRPr="0058758A">
        <w:rPr>
          <w:rFonts w:ascii="AvenirNext LT Pro Cn" w:hAnsi="AvenirNext LT Pro Cn"/>
          <w:sz w:val="22"/>
          <w:szCs w:val="22"/>
        </w:rPr>
        <w:t>ZONES A REGIME RESTRICTIF (ZRR)</w:t>
      </w:r>
      <w:r w:rsidR="00A260E4" w:rsidRPr="0058758A">
        <w:rPr>
          <w:rFonts w:ascii="AvenirNext LT Pro Cn" w:hAnsi="AvenirNext LT Pro Cn"/>
          <w:sz w:val="22"/>
          <w:szCs w:val="22"/>
        </w:rPr>
        <w:t xml:space="preserve"> ET SECURITE DE L’INFORMATION</w:t>
      </w:r>
      <w:bookmarkEnd w:id="102"/>
    </w:p>
    <w:p w14:paraId="092CE356" w14:textId="7770213F" w:rsidR="001E21C7" w:rsidRPr="0058758A" w:rsidRDefault="001E21C7" w:rsidP="008630D8">
      <w:pPr>
        <w:rPr>
          <w:b/>
          <w:i/>
        </w:rPr>
      </w:pPr>
      <w:bookmarkStart w:id="103" w:name="_Toc473299930"/>
      <w:r w:rsidRPr="0058758A">
        <w:t>L</w:t>
      </w:r>
      <w:r w:rsidR="007A2941" w:rsidRPr="0058758A">
        <w:t xml:space="preserve">es </w:t>
      </w:r>
      <w:r w:rsidRPr="0058758A">
        <w:t xml:space="preserve">prestations </w:t>
      </w:r>
      <w:r w:rsidR="0026288D" w:rsidRPr="0058758A">
        <w:t xml:space="preserve">de services </w:t>
      </w:r>
      <w:r w:rsidRPr="0058758A">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03"/>
    </w:p>
    <w:p w14:paraId="2658952A" w14:textId="13614EF6" w:rsidR="007A2941" w:rsidRPr="0058758A" w:rsidRDefault="001E21C7" w:rsidP="007A2941">
      <w:pPr>
        <w:rPr>
          <w:rFonts w:cstheme="majorHAnsi"/>
        </w:rPr>
      </w:pPr>
      <w:bookmarkStart w:id="104" w:name="_Toc473299931"/>
      <w:r w:rsidRPr="0058758A">
        <w:lastRenderedPageBreak/>
        <w:t xml:space="preserve">Cette réglementation prévoit des dispositions de contrôle de l'accès à des Zones à Régime Restrictif (ZRR). À ce titre le </w:t>
      </w:r>
      <w:r w:rsidR="00E0436E" w:rsidRPr="0058758A">
        <w:t>t</w:t>
      </w:r>
      <w:r w:rsidRPr="0058758A">
        <w:t xml:space="preserve">itulaire </w:t>
      </w:r>
      <w:r w:rsidR="007A2941" w:rsidRPr="0058758A">
        <w:t>est</w:t>
      </w:r>
      <w:r w:rsidRPr="0058758A">
        <w:t xml:space="preserve"> soumis aux procédures correspondantes d'autorisations préalables d'accès</w:t>
      </w:r>
      <w:bookmarkEnd w:id="104"/>
      <w:r w:rsidR="007A2941" w:rsidRPr="0058758A">
        <w:t xml:space="preserve"> et </w:t>
      </w:r>
      <w:r w:rsidR="007A2941" w:rsidRPr="0058758A">
        <w:rPr>
          <w:rFonts w:cstheme="majorHAnsi"/>
        </w:rPr>
        <w:t xml:space="preserve">devra </w:t>
      </w:r>
      <w:r w:rsidR="007A2941" w:rsidRPr="0058758A">
        <w:t>procéder,</w:t>
      </w:r>
      <w:r w:rsidR="007A2941" w:rsidRPr="0058758A">
        <w:rPr>
          <w:rFonts w:cstheme="majorHAnsi"/>
        </w:rPr>
        <w:t xml:space="preserve"> à son arrivée au bâtiment 231, à la signature du registre dédié à cette ZRR. Il devra y mentionner les informations suivantes : nom, prénom, date de naissance, société d’appartenance, date de la visite, motif de la visite et signature.</w:t>
      </w:r>
    </w:p>
    <w:p w14:paraId="74E39D21" w14:textId="77777777" w:rsidR="007A2941" w:rsidRPr="0058758A" w:rsidRDefault="007A2941" w:rsidP="008630D8"/>
    <w:p w14:paraId="2586C910" w14:textId="77777777" w:rsidR="00B3398C" w:rsidRPr="0058758A" w:rsidRDefault="00B3398C" w:rsidP="00890070">
      <w:pPr>
        <w:pStyle w:val="Titre1"/>
        <w:spacing w:before="360" w:after="240"/>
        <w:ind w:left="357" w:hanging="357"/>
        <w:rPr>
          <w:rFonts w:ascii="AvenirNext LT Pro Cn" w:hAnsi="AvenirNext LT Pro Cn"/>
          <w:sz w:val="22"/>
          <w:szCs w:val="22"/>
        </w:rPr>
      </w:pPr>
      <w:bookmarkStart w:id="105" w:name="_Toc190693448"/>
      <w:r w:rsidRPr="0058758A">
        <w:rPr>
          <w:rFonts w:ascii="AvenirNext LT Pro Cn" w:hAnsi="AvenirNext LT Pro Cn"/>
          <w:sz w:val="22"/>
          <w:szCs w:val="22"/>
        </w:rPr>
        <w:t>PRIX ET MODALITÉS DE PAIEMENTS</w:t>
      </w:r>
      <w:bookmarkEnd w:id="105"/>
    </w:p>
    <w:p w14:paraId="3EDC2BB3" w14:textId="77777777" w:rsidR="00B3398C" w:rsidRPr="0058758A" w:rsidRDefault="00B3398C" w:rsidP="009D5209">
      <w:pPr>
        <w:pStyle w:val="Titre2"/>
        <w:rPr>
          <w:rFonts w:ascii="AvenirNext LT Pro Cn" w:hAnsi="AvenirNext LT Pro Cn"/>
          <w:sz w:val="22"/>
          <w:szCs w:val="22"/>
        </w:rPr>
      </w:pPr>
      <w:bookmarkStart w:id="106" w:name="_Toc190693449"/>
      <w:r w:rsidRPr="0058758A">
        <w:rPr>
          <w:rFonts w:ascii="AvenirNext LT Pro Cn" w:hAnsi="AvenirNext LT Pro Cn"/>
          <w:sz w:val="22"/>
          <w:szCs w:val="22"/>
        </w:rPr>
        <w:t>Prix du marché</w:t>
      </w:r>
      <w:bookmarkEnd w:id="106"/>
    </w:p>
    <w:p w14:paraId="1F855768" w14:textId="77777777" w:rsidR="00E1324A" w:rsidRPr="0058758A" w:rsidRDefault="00E1324A" w:rsidP="00E1324A">
      <w:r w:rsidRPr="0058758A">
        <w:t xml:space="preserve">Le présent marché est </w:t>
      </w:r>
      <w:r w:rsidR="00E34666" w:rsidRPr="0058758A">
        <w:t>traité au prix global et forfaitaire précisé et décomposé par le titulaire dans son offre.</w:t>
      </w:r>
      <w:r w:rsidRPr="0058758A">
        <w:t xml:space="preserve"> </w:t>
      </w:r>
    </w:p>
    <w:p w14:paraId="59770167" w14:textId="62C36104" w:rsidR="00E1324A" w:rsidRPr="0058758A" w:rsidRDefault="00E34666" w:rsidP="00E1324A">
      <w:pPr>
        <w:rPr>
          <w:color w:val="FF0000"/>
        </w:rPr>
      </w:pPr>
      <w:r w:rsidRPr="0058758A">
        <w:t>Conformément à l’article 10 du CCAG-FCS, l</w:t>
      </w:r>
      <w:r w:rsidR="00E1324A" w:rsidRPr="0058758A">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rsidRPr="0058758A">
        <w:t xml:space="preserve"> telles que la formation, la garantie, le support technique, le cas échéant, la maintenance et </w:t>
      </w:r>
      <w:r w:rsidR="00E1324A" w:rsidRPr="0058758A">
        <w:t xml:space="preserve">les marges pour risque et les marges bénéficiaires. </w:t>
      </w:r>
    </w:p>
    <w:p w14:paraId="457DB757" w14:textId="77777777" w:rsidR="00E1324A" w:rsidRPr="0058758A" w:rsidRDefault="00E1324A" w:rsidP="00E1324A">
      <w:r w:rsidRPr="0058758A">
        <w:t>Les frais de manutention et de transport, qui naîtraient de l’ajournement ou du rejet des prestations, sont à la charge du titulaire.</w:t>
      </w:r>
    </w:p>
    <w:p w14:paraId="6947F843" w14:textId="77777777" w:rsidR="00C8795E" w:rsidRPr="0058758A" w:rsidRDefault="00C8795E" w:rsidP="00334A01">
      <w:pPr>
        <w:keepLines/>
        <w:widowControl w:val="0"/>
        <w:autoSpaceDE w:val="0"/>
        <w:autoSpaceDN w:val="0"/>
        <w:adjustRightInd w:val="0"/>
        <w:spacing w:before="240"/>
        <w:ind w:left="119" w:right="113"/>
        <w:rPr>
          <w:rFonts w:eastAsiaTheme="minorEastAsia" w:cstheme="minorHAnsi"/>
          <w:b/>
          <w:i/>
          <w:iCs/>
          <w:color w:val="FF0000"/>
          <w:lang w:eastAsia="fr-FR"/>
        </w:rPr>
      </w:pPr>
    </w:p>
    <w:p w14:paraId="352F1FC4" w14:textId="287D4836" w:rsidR="00E34666" w:rsidRPr="0058758A" w:rsidRDefault="00E34666" w:rsidP="00334A01">
      <w:pPr>
        <w:keepLines/>
        <w:widowControl w:val="0"/>
        <w:autoSpaceDE w:val="0"/>
        <w:autoSpaceDN w:val="0"/>
        <w:adjustRightInd w:val="0"/>
        <w:spacing w:before="240"/>
        <w:ind w:left="119" w:right="113"/>
        <w:rPr>
          <w:rFonts w:eastAsiaTheme="minorEastAsia" w:cstheme="minorHAnsi"/>
          <w:b/>
          <w:i/>
          <w:iCs/>
          <w:color w:val="FF0000"/>
          <w:lang w:eastAsia="fr-FR"/>
        </w:rPr>
      </w:pPr>
      <w:r w:rsidRPr="0058758A">
        <w:rPr>
          <w:rFonts w:eastAsiaTheme="minorEastAsia" w:cstheme="minorHAnsi"/>
          <w:b/>
          <w:i/>
          <w:iCs/>
          <w:color w:val="FF0000"/>
          <w:lang w:eastAsia="fr-FR"/>
        </w:rPr>
        <w:t>Zones à compléter par le candidat :</w:t>
      </w:r>
    </w:p>
    <w:p w14:paraId="6BE2791F" w14:textId="5681E9F9" w:rsidR="00E34666" w:rsidRPr="0058758A" w:rsidRDefault="00E34666" w:rsidP="009F4AD5">
      <w:pPr>
        <w:keepLines/>
        <w:widowControl w:val="0"/>
        <w:autoSpaceDE w:val="0"/>
        <w:autoSpaceDN w:val="0"/>
        <w:adjustRightInd w:val="0"/>
        <w:ind w:left="119" w:right="113"/>
        <w:rPr>
          <w:rFonts w:cs="Calibri"/>
        </w:rPr>
      </w:pPr>
      <w:r w:rsidRPr="0058758A">
        <w:rPr>
          <w:rFonts w:eastAsiaTheme="minorEastAsia" w:cs="Calibri"/>
          <w:bCs/>
          <w:color w:val="000000"/>
          <w:lang w:eastAsia="fr-FR"/>
        </w:rPr>
        <w:t>Montant du prix</w:t>
      </w:r>
      <w:r w:rsidR="00B7002F" w:rsidRPr="0058758A">
        <w:rPr>
          <w:rFonts w:eastAsiaTheme="minorEastAsia" w:cs="Calibri"/>
          <w:bCs/>
          <w:color w:val="000000"/>
          <w:lang w:eastAsia="fr-FR"/>
        </w:rPr>
        <w:t xml:space="preserve"> global et </w:t>
      </w:r>
      <w:r w:rsidRPr="0058758A">
        <w:rPr>
          <w:rFonts w:eastAsiaTheme="minorEastAsia" w:cs="Calibri"/>
          <w:bCs/>
          <w:color w:val="000000"/>
          <w:lang w:eastAsia="fr-FR"/>
        </w:rPr>
        <w:t>forfaitaire</w:t>
      </w:r>
      <w:r w:rsidR="00AC5FB7" w:rsidRPr="0058758A">
        <w:rPr>
          <w:rFonts w:eastAsiaTheme="minorEastAsia" w:cs="Calibri"/>
          <w:bCs/>
          <w:color w:val="000000"/>
          <w:lang w:eastAsia="fr-FR"/>
        </w:rPr>
        <w:t xml:space="preserve"> </w:t>
      </w:r>
      <w:r w:rsidR="005A7796" w:rsidRPr="0058758A">
        <w:rPr>
          <w:rFonts w:cs="Calibri"/>
        </w:rPr>
        <w:t xml:space="preserve">pour l’ensemble </w:t>
      </w:r>
      <w:r w:rsidR="007A2941" w:rsidRPr="0058758A">
        <w:rPr>
          <w:rFonts w:cs="Calibri"/>
        </w:rPr>
        <w:t xml:space="preserve">des deux appareils et des prestations connexes </w:t>
      </w:r>
      <w:r w:rsidR="003A4A1A">
        <w:rPr>
          <w:rFonts w:cs="Calibri"/>
        </w:rPr>
        <w:t>y compris la 1</w:t>
      </w:r>
      <w:r w:rsidR="003A4A1A" w:rsidRPr="003A4A1A">
        <w:rPr>
          <w:rFonts w:cs="Calibri"/>
          <w:vertAlign w:val="superscript"/>
        </w:rPr>
        <w:t>ère</w:t>
      </w:r>
      <w:r w:rsidR="003A4A1A">
        <w:rPr>
          <w:rFonts w:cs="Calibri"/>
        </w:rPr>
        <w:t xml:space="preserve"> année de maintenance préventive </w:t>
      </w:r>
      <w:r w:rsidR="007A2941" w:rsidRPr="0058758A">
        <w:rPr>
          <w:rFonts w:cs="Calibri"/>
        </w:rPr>
        <w:t>:</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E34666" w:rsidRPr="0058758A" w14:paraId="6169C415"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A4D7FB6" w14:textId="77777777" w:rsidR="00E34666" w:rsidRPr="0058758A" w:rsidRDefault="00E34666" w:rsidP="00AD1B16">
            <w:pPr>
              <w:keepLines/>
              <w:widowControl w:val="0"/>
              <w:autoSpaceDE w:val="0"/>
              <w:autoSpaceDN w:val="0"/>
              <w:adjustRightInd w:val="0"/>
              <w:spacing w:before="60" w:after="60"/>
              <w:ind w:left="108" w:right="90"/>
              <w:rPr>
                <w:rFonts w:eastAsiaTheme="minorEastAsia" w:cstheme="minorHAnsi"/>
                <w:color w:val="FF0000"/>
                <w:lang w:eastAsia="fr-FR"/>
              </w:rPr>
            </w:pPr>
            <w:r w:rsidRPr="0058758A">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A296739" w14:textId="7E5BE760" w:rsidR="00E34666" w:rsidRPr="0058758A" w:rsidRDefault="00E34666" w:rsidP="00AD1B16">
            <w:pPr>
              <w:keepLines/>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w:t>
            </w:r>
          </w:p>
        </w:tc>
      </w:tr>
      <w:tr w:rsidR="00E34666" w:rsidRPr="0058758A" w14:paraId="0F2BBA51"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1943352" w14:textId="77777777" w:rsidR="00E34666" w:rsidRPr="0058758A"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D819487" w14:textId="75078EBA" w:rsidR="00E34666" w:rsidRPr="0058758A" w:rsidRDefault="00E34666" w:rsidP="00AD1B16">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58758A">
              <w:rPr>
                <w:rFonts w:eastAsiaTheme="minorEastAsia" w:cstheme="minorHAnsi"/>
                <w:color w:val="000000"/>
                <w:lang w:eastAsia="fr-FR"/>
              </w:rPr>
              <w:t>%</w:t>
            </w:r>
          </w:p>
        </w:tc>
      </w:tr>
      <w:tr w:rsidR="00F0378C" w:rsidRPr="0058758A" w14:paraId="7C1F3548"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B975C8A" w14:textId="77777777" w:rsidR="00F0378C" w:rsidRPr="0058758A" w:rsidRDefault="00F0378C" w:rsidP="00AD1B16">
            <w:pPr>
              <w:keepLines/>
              <w:widowControl w:val="0"/>
              <w:autoSpaceDE w:val="0"/>
              <w:autoSpaceDN w:val="0"/>
              <w:adjustRightInd w:val="0"/>
              <w:spacing w:before="60" w:after="60"/>
              <w:ind w:left="108" w:right="90"/>
              <w:rPr>
                <w:rFonts w:eastAsiaTheme="minorEastAsia" w:cstheme="minorHAnsi"/>
                <w:color w:val="000000"/>
                <w:lang w:eastAsia="fr-FR"/>
              </w:rPr>
            </w:pPr>
            <w:r w:rsidRPr="0058758A">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C5ECEE" w14:textId="0DBD30C6" w:rsidR="00F0378C" w:rsidRPr="0058758A" w:rsidRDefault="005A7796" w:rsidP="00AD1B16">
            <w:pPr>
              <w:widowControl w:val="0"/>
              <w:autoSpaceDE w:val="0"/>
              <w:autoSpaceDN w:val="0"/>
              <w:adjustRightInd w:val="0"/>
              <w:spacing w:before="60" w:after="60"/>
              <w:ind w:left="126" w:right="80"/>
              <w:jc w:val="right"/>
              <w:rPr>
                <w:rFonts w:eastAsiaTheme="minorEastAsia" w:cstheme="minorHAnsi"/>
                <w:color w:val="000000"/>
                <w:lang w:eastAsia="fr-FR"/>
              </w:rPr>
            </w:pPr>
            <w:r w:rsidRPr="0058758A">
              <w:rPr>
                <w:rFonts w:eastAsiaTheme="minorEastAsia" w:cstheme="minorHAnsi"/>
                <w:color w:val="000000"/>
                <w:lang w:eastAsia="fr-FR"/>
              </w:rPr>
              <w:t xml:space="preserve"> </w:t>
            </w:r>
            <w:r w:rsidR="00F0378C" w:rsidRPr="0058758A">
              <w:rPr>
                <w:rFonts w:eastAsiaTheme="minorEastAsia" w:cstheme="minorHAnsi"/>
                <w:color w:val="000000"/>
                <w:lang w:eastAsia="fr-FR"/>
              </w:rPr>
              <w:t>€</w:t>
            </w:r>
          </w:p>
        </w:tc>
      </w:tr>
      <w:tr w:rsidR="00E34666" w:rsidRPr="0058758A" w14:paraId="63AD772B" w14:textId="77777777" w:rsidTr="00E34666">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44C0EA8" w14:textId="77777777" w:rsidR="00E34666" w:rsidRPr="0058758A" w:rsidRDefault="00E34666" w:rsidP="00AD1B16">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4DB147B" w14:textId="2DD9FB1D" w:rsidR="00E34666" w:rsidRPr="0058758A" w:rsidRDefault="005A7796" w:rsidP="00AD1B16">
            <w:pPr>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 xml:space="preserve"> </w:t>
            </w:r>
            <w:r w:rsidR="00E34666" w:rsidRPr="0058758A">
              <w:rPr>
                <w:rFonts w:eastAsiaTheme="minorEastAsia" w:cstheme="minorHAnsi"/>
                <w:color w:val="000000"/>
                <w:lang w:eastAsia="fr-FR"/>
              </w:rPr>
              <w:t>€</w:t>
            </w:r>
          </w:p>
        </w:tc>
      </w:tr>
    </w:tbl>
    <w:p w14:paraId="10C18736" w14:textId="6A59A495" w:rsidR="00E34666" w:rsidRDefault="00E34666" w:rsidP="00E34666">
      <w:pPr>
        <w:keepLines/>
        <w:widowControl w:val="0"/>
        <w:autoSpaceDE w:val="0"/>
        <w:autoSpaceDN w:val="0"/>
        <w:adjustRightInd w:val="0"/>
        <w:spacing w:before="240" w:after="0"/>
        <w:ind w:left="119" w:right="113"/>
        <w:rPr>
          <w:rFonts w:eastAsiaTheme="minorEastAsia" w:cstheme="minorHAnsi"/>
          <w:i/>
          <w:iCs/>
          <w:color w:val="000000"/>
          <w:lang w:eastAsia="fr-FR"/>
        </w:rPr>
      </w:pPr>
      <w:r w:rsidRPr="0058758A">
        <w:rPr>
          <w:rFonts w:eastAsiaTheme="minorEastAsia" w:cstheme="minorHAnsi"/>
          <w:i/>
          <w:iCs/>
          <w:color w:val="000000"/>
          <w:lang w:eastAsia="fr-FR"/>
        </w:rPr>
        <w:t xml:space="preserve">Montant global TTC (en lettres) : </w:t>
      </w:r>
    </w:p>
    <w:p w14:paraId="0C0BCDE3" w14:textId="77777777" w:rsidR="004A011E" w:rsidRPr="0058758A" w:rsidRDefault="004A011E" w:rsidP="00E34666">
      <w:pPr>
        <w:keepLines/>
        <w:widowControl w:val="0"/>
        <w:autoSpaceDE w:val="0"/>
        <w:autoSpaceDN w:val="0"/>
        <w:adjustRightInd w:val="0"/>
        <w:spacing w:before="240" w:after="0"/>
        <w:ind w:left="119" w:right="113"/>
        <w:rPr>
          <w:rFonts w:eastAsiaTheme="minorEastAsia" w:cstheme="minorHAnsi"/>
          <w:i/>
          <w:iCs/>
          <w:color w:val="000000"/>
          <w:lang w:eastAsia="fr-FR"/>
        </w:rPr>
      </w:pPr>
    </w:p>
    <w:p w14:paraId="15B0C5E1" w14:textId="3921D902" w:rsidR="007A2941" w:rsidRPr="0058758A" w:rsidRDefault="003A4A1A" w:rsidP="007A2941">
      <w:pPr>
        <w:keepLines/>
        <w:widowControl w:val="0"/>
        <w:autoSpaceDE w:val="0"/>
        <w:autoSpaceDN w:val="0"/>
        <w:adjustRightInd w:val="0"/>
        <w:ind w:left="119" w:right="113"/>
        <w:rPr>
          <w:rFonts w:cs="Calibri"/>
        </w:rPr>
      </w:pPr>
      <w:r>
        <w:rPr>
          <w:rFonts w:eastAsiaTheme="minorEastAsia" w:cs="Calibri"/>
          <w:bCs/>
          <w:color w:val="000000"/>
          <w:lang w:eastAsia="fr-FR"/>
        </w:rPr>
        <w:t>PSE 1</w:t>
      </w:r>
      <w:r w:rsidR="009D3B33">
        <w:rPr>
          <w:rFonts w:eastAsiaTheme="minorEastAsia" w:cs="Calibri"/>
          <w:bCs/>
          <w:color w:val="000000"/>
          <w:lang w:eastAsia="fr-FR"/>
        </w:rPr>
        <w:t xml:space="preserve"> facultative </w:t>
      </w:r>
      <w:r>
        <w:rPr>
          <w:rFonts w:eastAsiaTheme="minorEastAsia" w:cs="Calibri"/>
          <w:bCs/>
          <w:color w:val="000000"/>
          <w:lang w:eastAsia="fr-FR"/>
        </w:rPr>
        <w:t>: 1</w:t>
      </w:r>
      <w:r w:rsidRPr="003A4A1A">
        <w:rPr>
          <w:rFonts w:eastAsiaTheme="minorEastAsia" w:cs="Calibri"/>
          <w:bCs/>
          <w:color w:val="000000"/>
          <w:vertAlign w:val="superscript"/>
          <w:lang w:eastAsia="fr-FR"/>
        </w:rPr>
        <w:t>ère</w:t>
      </w:r>
      <w:r>
        <w:rPr>
          <w:rFonts w:eastAsiaTheme="minorEastAsia" w:cs="Calibri"/>
          <w:bCs/>
          <w:color w:val="000000"/>
          <w:lang w:eastAsia="fr-FR"/>
        </w:rPr>
        <w:t xml:space="preserve"> année supplémentaire</w:t>
      </w:r>
      <w:r w:rsidR="005B7A6D" w:rsidRPr="0058758A">
        <w:rPr>
          <w:rFonts w:eastAsiaTheme="minorEastAsia" w:cs="Calibri"/>
          <w:bCs/>
          <w:color w:val="000000"/>
          <w:lang w:eastAsia="fr-FR"/>
        </w:rPr>
        <w:t xml:space="preserve"> de maintenance préventive annuelle </w:t>
      </w:r>
      <w:r w:rsidR="007A2941" w:rsidRPr="0058758A">
        <w:rPr>
          <w:rFonts w:eastAsiaTheme="minorEastAsia" w:cs="Calibri"/>
          <w:bCs/>
          <w:color w:val="000000"/>
          <w:lang w:eastAsia="fr-FR"/>
        </w:rPr>
        <w:t xml:space="preserve">forfaitaire </w:t>
      </w:r>
      <w:r w:rsidR="007A2941" w:rsidRPr="0058758A">
        <w:rPr>
          <w:rFonts w:cs="Calibri"/>
        </w:rPr>
        <w:t xml:space="preserve">pour l’ensemble des deux </w:t>
      </w:r>
      <w:r w:rsidR="005B7A6D" w:rsidRPr="0058758A">
        <w:rPr>
          <w:rFonts w:cs="Calibri"/>
        </w:rPr>
        <w:t>appareils :</w:t>
      </w:r>
    </w:p>
    <w:p w14:paraId="1675ECCF" w14:textId="77777777" w:rsidR="005B7A6D" w:rsidRPr="0058758A" w:rsidRDefault="005B7A6D" w:rsidP="007A2941">
      <w:pPr>
        <w:keepLines/>
        <w:widowControl w:val="0"/>
        <w:autoSpaceDE w:val="0"/>
        <w:autoSpaceDN w:val="0"/>
        <w:adjustRightInd w:val="0"/>
        <w:ind w:left="119" w:right="113"/>
        <w:rPr>
          <w:rFonts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5B7A6D" w:rsidRPr="0058758A" w14:paraId="172790A4" w14:textId="77777777" w:rsidTr="003F68AD">
        <w:tc>
          <w:tcPr>
            <w:tcW w:w="9348" w:type="dxa"/>
            <w:gridSpan w:val="2"/>
            <w:tcBorders>
              <w:top w:val="single" w:sz="6" w:space="0" w:color="C0C0C0"/>
              <w:left w:val="single" w:sz="6" w:space="0" w:color="C0C0C0"/>
              <w:bottom w:val="single" w:sz="6" w:space="0" w:color="C0C0C0"/>
              <w:right w:val="single" w:sz="12" w:space="0" w:color="C0C0C0"/>
            </w:tcBorders>
            <w:shd w:val="clear" w:color="auto" w:fill="FFFFFF"/>
          </w:tcPr>
          <w:p w14:paraId="00C4C0DD" w14:textId="1CDE3C3A" w:rsidR="005B7A6D" w:rsidRPr="0058758A" w:rsidRDefault="005B7A6D" w:rsidP="005B7A6D">
            <w:pPr>
              <w:keepLines/>
              <w:widowControl w:val="0"/>
              <w:autoSpaceDE w:val="0"/>
              <w:autoSpaceDN w:val="0"/>
              <w:adjustRightInd w:val="0"/>
              <w:spacing w:before="60" w:after="60"/>
              <w:ind w:left="126" w:right="80"/>
              <w:jc w:val="left"/>
              <w:rPr>
                <w:rFonts w:eastAsiaTheme="minorEastAsia" w:cstheme="minorHAnsi"/>
                <w:color w:val="000000"/>
                <w:lang w:eastAsia="fr-FR"/>
              </w:rPr>
            </w:pPr>
            <w:r w:rsidRPr="0058758A">
              <w:rPr>
                <w:rFonts w:eastAsiaTheme="minorEastAsia" w:cstheme="minorHAnsi"/>
                <w:color w:val="000000"/>
                <w:lang w:eastAsia="fr-FR"/>
              </w:rPr>
              <w:t>Intitulé :</w:t>
            </w:r>
          </w:p>
        </w:tc>
      </w:tr>
      <w:tr w:rsidR="007A2941" w:rsidRPr="0058758A" w14:paraId="040F397D" w14:textId="77777777" w:rsidTr="003F68AD">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9A409A0" w14:textId="77777777" w:rsidR="007A2941" w:rsidRPr="0058758A" w:rsidRDefault="007A2941" w:rsidP="003F68AD">
            <w:pPr>
              <w:keepLines/>
              <w:widowControl w:val="0"/>
              <w:autoSpaceDE w:val="0"/>
              <w:autoSpaceDN w:val="0"/>
              <w:adjustRightInd w:val="0"/>
              <w:spacing w:before="60" w:after="60"/>
              <w:ind w:left="108" w:right="90"/>
              <w:rPr>
                <w:rFonts w:eastAsiaTheme="minorEastAsia" w:cstheme="minorHAnsi"/>
                <w:color w:val="FF0000"/>
                <w:lang w:eastAsia="fr-FR"/>
              </w:rPr>
            </w:pPr>
            <w:r w:rsidRPr="0058758A">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5122480" w14:textId="77777777" w:rsidR="007A2941" w:rsidRPr="0058758A" w:rsidRDefault="007A2941" w:rsidP="003F68AD">
            <w:pPr>
              <w:keepLines/>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w:t>
            </w:r>
          </w:p>
        </w:tc>
      </w:tr>
      <w:tr w:rsidR="007A2941" w:rsidRPr="0058758A" w14:paraId="2B47A02D" w14:textId="77777777" w:rsidTr="003F68AD">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71D34F8" w14:textId="77777777" w:rsidR="007A2941" w:rsidRPr="0058758A" w:rsidRDefault="007A2941" w:rsidP="003F68AD">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685EFA7" w14:textId="77777777" w:rsidR="007A2941" w:rsidRPr="0058758A" w:rsidRDefault="007A2941" w:rsidP="003F68AD">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58758A">
              <w:rPr>
                <w:rFonts w:eastAsiaTheme="minorEastAsia" w:cstheme="minorHAnsi"/>
                <w:color w:val="000000"/>
                <w:lang w:eastAsia="fr-FR"/>
              </w:rPr>
              <w:t>%</w:t>
            </w:r>
          </w:p>
        </w:tc>
      </w:tr>
      <w:tr w:rsidR="007A2941" w:rsidRPr="0058758A" w14:paraId="6C0E78E6" w14:textId="77777777" w:rsidTr="003F68AD">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5D8B543" w14:textId="77777777" w:rsidR="007A2941" w:rsidRPr="0058758A" w:rsidRDefault="007A2941" w:rsidP="003F68AD">
            <w:pPr>
              <w:keepLines/>
              <w:widowControl w:val="0"/>
              <w:autoSpaceDE w:val="0"/>
              <w:autoSpaceDN w:val="0"/>
              <w:adjustRightInd w:val="0"/>
              <w:spacing w:before="60" w:after="60"/>
              <w:ind w:left="108" w:right="90"/>
              <w:rPr>
                <w:rFonts w:eastAsiaTheme="minorEastAsia" w:cstheme="minorHAnsi"/>
                <w:color w:val="000000"/>
                <w:lang w:eastAsia="fr-FR"/>
              </w:rPr>
            </w:pPr>
            <w:r w:rsidRPr="0058758A">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5AEC028" w14:textId="77777777" w:rsidR="007A2941" w:rsidRPr="0058758A" w:rsidRDefault="007A2941" w:rsidP="003F68AD">
            <w:pPr>
              <w:widowControl w:val="0"/>
              <w:autoSpaceDE w:val="0"/>
              <w:autoSpaceDN w:val="0"/>
              <w:adjustRightInd w:val="0"/>
              <w:spacing w:before="60" w:after="60"/>
              <w:ind w:left="126" w:right="80"/>
              <w:jc w:val="right"/>
              <w:rPr>
                <w:rFonts w:eastAsiaTheme="minorEastAsia" w:cstheme="minorHAnsi"/>
                <w:color w:val="000000"/>
                <w:lang w:eastAsia="fr-FR"/>
              </w:rPr>
            </w:pPr>
            <w:r w:rsidRPr="0058758A">
              <w:rPr>
                <w:rFonts w:eastAsiaTheme="minorEastAsia" w:cstheme="minorHAnsi"/>
                <w:color w:val="000000"/>
                <w:lang w:eastAsia="fr-FR"/>
              </w:rPr>
              <w:t xml:space="preserve"> €</w:t>
            </w:r>
          </w:p>
        </w:tc>
      </w:tr>
      <w:tr w:rsidR="007A2941" w:rsidRPr="0058758A" w14:paraId="7A9F9809" w14:textId="77777777" w:rsidTr="003F68AD">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240FC81" w14:textId="77777777" w:rsidR="007A2941" w:rsidRPr="0058758A" w:rsidRDefault="007A2941" w:rsidP="003F68AD">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223988A" w14:textId="77777777" w:rsidR="007A2941" w:rsidRPr="0058758A" w:rsidRDefault="007A2941" w:rsidP="003F68AD">
            <w:pPr>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 xml:space="preserve"> €</w:t>
            </w:r>
          </w:p>
        </w:tc>
      </w:tr>
    </w:tbl>
    <w:p w14:paraId="57988110" w14:textId="77777777" w:rsidR="007A2941" w:rsidRPr="0058758A" w:rsidRDefault="007A2941" w:rsidP="007A2941">
      <w:pPr>
        <w:keepLines/>
        <w:widowControl w:val="0"/>
        <w:autoSpaceDE w:val="0"/>
        <w:autoSpaceDN w:val="0"/>
        <w:adjustRightInd w:val="0"/>
        <w:spacing w:before="240" w:after="0"/>
        <w:ind w:left="119" w:right="113"/>
        <w:rPr>
          <w:rFonts w:eastAsiaTheme="minorEastAsia" w:cstheme="minorHAnsi"/>
          <w:i/>
          <w:iCs/>
          <w:color w:val="000000"/>
          <w:lang w:eastAsia="fr-FR"/>
        </w:rPr>
      </w:pPr>
      <w:r w:rsidRPr="0058758A">
        <w:rPr>
          <w:rFonts w:eastAsiaTheme="minorEastAsia" w:cstheme="minorHAnsi"/>
          <w:i/>
          <w:iCs/>
          <w:color w:val="000000"/>
          <w:lang w:eastAsia="fr-FR"/>
        </w:rPr>
        <w:t xml:space="preserve">Montant global TTC (en lettres) : </w:t>
      </w:r>
    </w:p>
    <w:p w14:paraId="6C1CFDAB" w14:textId="07B4B81C" w:rsidR="003A4A1A" w:rsidRPr="0058758A" w:rsidRDefault="003A4A1A" w:rsidP="003A4A1A">
      <w:pPr>
        <w:keepLines/>
        <w:widowControl w:val="0"/>
        <w:autoSpaceDE w:val="0"/>
        <w:autoSpaceDN w:val="0"/>
        <w:adjustRightInd w:val="0"/>
        <w:ind w:left="119" w:right="113"/>
        <w:rPr>
          <w:rFonts w:cs="Calibri"/>
        </w:rPr>
      </w:pPr>
      <w:r>
        <w:rPr>
          <w:rFonts w:eastAsiaTheme="minorEastAsia" w:cstheme="minorHAnsi"/>
          <w:lang w:eastAsia="fr-FR"/>
        </w:rPr>
        <w:lastRenderedPageBreak/>
        <w:t>PSE 2</w:t>
      </w:r>
      <w:r w:rsidR="009D3B33">
        <w:rPr>
          <w:rFonts w:eastAsiaTheme="minorEastAsia" w:cstheme="minorHAnsi"/>
          <w:lang w:eastAsia="fr-FR"/>
        </w:rPr>
        <w:t xml:space="preserve"> facultative</w:t>
      </w:r>
      <w:r>
        <w:rPr>
          <w:rFonts w:eastAsiaTheme="minorEastAsia" w:cstheme="minorHAnsi"/>
          <w:lang w:eastAsia="fr-FR"/>
        </w:rPr>
        <w:t> : 2</w:t>
      </w:r>
      <w:r w:rsidRPr="003A4A1A">
        <w:rPr>
          <w:rFonts w:eastAsiaTheme="minorEastAsia" w:cstheme="minorHAnsi"/>
          <w:vertAlign w:val="superscript"/>
          <w:lang w:eastAsia="fr-FR"/>
        </w:rPr>
        <w:t>ème</w:t>
      </w:r>
      <w:r>
        <w:rPr>
          <w:rFonts w:eastAsiaTheme="minorEastAsia" w:cstheme="minorHAnsi"/>
          <w:lang w:eastAsia="fr-FR"/>
        </w:rPr>
        <w:t xml:space="preserve"> année </w:t>
      </w:r>
      <w:r>
        <w:rPr>
          <w:rFonts w:eastAsiaTheme="minorEastAsia" w:cs="Calibri"/>
          <w:bCs/>
          <w:color w:val="000000"/>
          <w:lang w:eastAsia="fr-FR"/>
        </w:rPr>
        <w:t>supplémentaire</w:t>
      </w:r>
      <w:r w:rsidRPr="0058758A">
        <w:rPr>
          <w:rFonts w:eastAsiaTheme="minorEastAsia" w:cs="Calibri"/>
          <w:bCs/>
          <w:color w:val="000000"/>
          <w:lang w:eastAsia="fr-FR"/>
        </w:rPr>
        <w:t xml:space="preserve"> de maintenance préventive annuelle forfaitaire </w:t>
      </w:r>
      <w:r w:rsidRPr="0058758A">
        <w:rPr>
          <w:rFonts w:cs="Calibri"/>
        </w:rPr>
        <w:t>pour l’ensemble des deux appareils :</w:t>
      </w:r>
    </w:p>
    <w:p w14:paraId="1F4663E7" w14:textId="77777777" w:rsidR="003A4A1A" w:rsidRPr="0058758A" w:rsidRDefault="003A4A1A" w:rsidP="003A4A1A">
      <w:pPr>
        <w:keepLines/>
        <w:widowControl w:val="0"/>
        <w:autoSpaceDE w:val="0"/>
        <w:autoSpaceDN w:val="0"/>
        <w:adjustRightInd w:val="0"/>
        <w:ind w:left="119" w:right="113"/>
        <w:rPr>
          <w:rFonts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3A4A1A" w:rsidRPr="0058758A" w14:paraId="686A25C9" w14:textId="77777777" w:rsidTr="003840C3">
        <w:tc>
          <w:tcPr>
            <w:tcW w:w="9348" w:type="dxa"/>
            <w:gridSpan w:val="2"/>
            <w:tcBorders>
              <w:top w:val="single" w:sz="6" w:space="0" w:color="C0C0C0"/>
              <w:left w:val="single" w:sz="6" w:space="0" w:color="C0C0C0"/>
              <w:bottom w:val="single" w:sz="6" w:space="0" w:color="C0C0C0"/>
              <w:right w:val="single" w:sz="12" w:space="0" w:color="C0C0C0"/>
            </w:tcBorders>
            <w:shd w:val="clear" w:color="auto" w:fill="FFFFFF"/>
          </w:tcPr>
          <w:p w14:paraId="6A736803" w14:textId="77777777" w:rsidR="003A4A1A" w:rsidRPr="0058758A" w:rsidRDefault="003A4A1A" w:rsidP="003840C3">
            <w:pPr>
              <w:keepLines/>
              <w:widowControl w:val="0"/>
              <w:autoSpaceDE w:val="0"/>
              <w:autoSpaceDN w:val="0"/>
              <w:adjustRightInd w:val="0"/>
              <w:spacing w:before="60" w:after="60"/>
              <w:ind w:left="126" w:right="80"/>
              <w:jc w:val="left"/>
              <w:rPr>
                <w:rFonts w:eastAsiaTheme="minorEastAsia" w:cstheme="minorHAnsi"/>
                <w:color w:val="000000"/>
                <w:lang w:eastAsia="fr-FR"/>
              </w:rPr>
            </w:pPr>
            <w:r w:rsidRPr="0058758A">
              <w:rPr>
                <w:rFonts w:eastAsiaTheme="minorEastAsia" w:cstheme="minorHAnsi"/>
                <w:color w:val="000000"/>
                <w:lang w:eastAsia="fr-FR"/>
              </w:rPr>
              <w:t>Intitulé :</w:t>
            </w:r>
          </w:p>
        </w:tc>
      </w:tr>
      <w:tr w:rsidR="003A4A1A" w:rsidRPr="0058758A" w14:paraId="0ED611E0"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B388309"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color w:val="FF0000"/>
                <w:lang w:eastAsia="fr-FR"/>
              </w:rPr>
            </w:pPr>
            <w:r w:rsidRPr="0058758A">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5207C324" w14:textId="77777777" w:rsidR="003A4A1A" w:rsidRPr="0058758A" w:rsidRDefault="003A4A1A" w:rsidP="003840C3">
            <w:pPr>
              <w:keepLines/>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w:t>
            </w:r>
          </w:p>
        </w:tc>
      </w:tr>
      <w:tr w:rsidR="003A4A1A" w:rsidRPr="0058758A" w14:paraId="4413563E"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5787107"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894EB4A" w14:textId="77777777" w:rsidR="003A4A1A" w:rsidRPr="0058758A" w:rsidRDefault="003A4A1A" w:rsidP="003840C3">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58758A">
              <w:rPr>
                <w:rFonts w:eastAsiaTheme="minorEastAsia" w:cstheme="minorHAnsi"/>
                <w:color w:val="000000"/>
                <w:lang w:eastAsia="fr-FR"/>
              </w:rPr>
              <w:t>%</w:t>
            </w:r>
          </w:p>
        </w:tc>
      </w:tr>
      <w:tr w:rsidR="003A4A1A" w:rsidRPr="0058758A" w14:paraId="414093DB"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4E052A1"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color w:val="000000"/>
                <w:lang w:eastAsia="fr-FR"/>
              </w:rPr>
            </w:pPr>
            <w:r w:rsidRPr="0058758A">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CCEB69E" w14:textId="77777777" w:rsidR="003A4A1A" w:rsidRPr="0058758A" w:rsidRDefault="003A4A1A" w:rsidP="003840C3">
            <w:pPr>
              <w:widowControl w:val="0"/>
              <w:autoSpaceDE w:val="0"/>
              <w:autoSpaceDN w:val="0"/>
              <w:adjustRightInd w:val="0"/>
              <w:spacing w:before="60" w:after="60"/>
              <w:ind w:left="126" w:right="80"/>
              <w:jc w:val="right"/>
              <w:rPr>
                <w:rFonts w:eastAsiaTheme="minorEastAsia" w:cstheme="minorHAnsi"/>
                <w:color w:val="000000"/>
                <w:lang w:eastAsia="fr-FR"/>
              </w:rPr>
            </w:pPr>
            <w:r w:rsidRPr="0058758A">
              <w:rPr>
                <w:rFonts w:eastAsiaTheme="minorEastAsia" w:cstheme="minorHAnsi"/>
                <w:color w:val="000000"/>
                <w:lang w:eastAsia="fr-FR"/>
              </w:rPr>
              <w:t xml:space="preserve"> €</w:t>
            </w:r>
          </w:p>
        </w:tc>
      </w:tr>
      <w:tr w:rsidR="003A4A1A" w:rsidRPr="0058758A" w14:paraId="2DA66EC0"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57504D5"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55475C22" w14:textId="77777777" w:rsidR="003A4A1A" w:rsidRPr="0058758A" w:rsidRDefault="003A4A1A" w:rsidP="003840C3">
            <w:pPr>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 xml:space="preserve"> €</w:t>
            </w:r>
          </w:p>
        </w:tc>
      </w:tr>
    </w:tbl>
    <w:p w14:paraId="64F392E4" w14:textId="08071A7D" w:rsidR="003A4A1A" w:rsidRDefault="003A4A1A" w:rsidP="003A4A1A">
      <w:pPr>
        <w:keepLines/>
        <w:widowControl w:val="0"/>
        <w:autoSpaceDE w:val="0"/>
        <w:autoSpaceDN w:val="0"/>
        <w:adjustRightInd w:val="0"/>
        <w:spacing w:before="240" w:after="0"/>
        <w:ind w:left="119" w:right="113"/>
        <w:rPr>
          <w:rFonts w:eastAsiaTheme="minorEastAsia" w:cstheme="minorHAnsi"/>
          <w:i/>
          <w:iCs/>
          <w:color w:val="000000"/>
          <w:lang w:eastAsia="fr-FR"/>
        </w:rPr>
      </w:pPr>
      <w:r w:rsidRPr="0058758A">
        <w:rPr>
          <w:rFonts w:eastAsiaTheme="minorEastAsia" w:cstheme="minorHAnsi"/>
          <w:i/>
          <w:iCs/>
          <w:color w:val="000000"/>
          <w:lang w:eastAsia="fr-FR"/>
        </w:rPr>
        <w:t xml:space="preserve">Montant global TTC (en lettres) : </w:t>
      </w:r>
    </w:p>
    <w:p w14:paraId="138FDA38" w14:textId="77777777" w:rsidR="003A4A1A" w:rsidRPr="0058758A" w:rsidRDefault="003A4A1A" w:rsidP="003A4A1A">
      <w:pPr>
        <w:keepLines/>
        <w:widowControl w:val="0"/>
        <w:autoSpaceDE w:val="0"/>
        <w:autoSpaceDN w:val="0"/>
        <w:adjustRightInd w:val="0"/>
        <w:spacing w:before="240" w:after="0"/>
        <w:ind w:left="119" w:right="113"/>
        <w:rPr>
          <w:rFonts w:eastAsiaTheme="minorEastAsia" w:cstheme="minorHAnsi"/>
          <w:i/>
          <w:iCs/>
          <w:color w:val="000000"/>
          <w:lang w:eastAsia="fr-FR"/>
        </w:rPr>
      </w:pPr>
    </w:p>
    <w:p w14:paraId="57F7D011" w14:textId="632ED33B" w:rsidR="003A4A1A" w:rsidRPr="0058758A" w:rsidRDefault="003A4A1A" w:rsidP="003A4A1A">
      <w:pPr>
        <w:keepLines/>
        <w:widowControl w:val="0"/>
        <w:autoSpaceDE w:val="0"/>
        <w:autoSpaceDN w:val="0"/>
        <w:adjustRightInd w:val="0"/>
        <w:ind w:left="119" w:right="113"/>
        <w:rPr>
          <w:rFonts w:cs="Calibri"/>
        </w:rPr>
      </w:pPr>
      <w:r>
        <w:rPr>
          <w:rFonts w:eastAsiaTheme="minorEastAsia" w:cstheme="minorHAnsi"/>
          <w:lang w:eastAsia="fr-FR"/>
        </w:rPr>
        <w:t>PSE 3</w:t>
      </w:r>
      <w:r w:rsidR="009D3B33">
        <w:rPr>
          <w:rFonts w:eastAsiaTheme="minorEastAsia" w:cstheme="minorHAnsi"/>
          <w:lang w:eastAsia="fr-FR"/>
        </w:rPr>
        <w:t xml:space="preserve"> facultative </w:t>
      </w:r>
      <w:r>
        <w:rPr>
          <w:rFonts w:eastAsiaTheme="minorEastAsia" w:cstheme="minorHAnsi"/>
          <w:lang w:eastAsia="fr-FR"/>
        </w:rPr>
        <w:t>: 3</w:t>
      </w:r>
      <w:r w:rsidRPr="003A4A1A">
        <w:rPr>
          <w:rFonts w:eastAsiaTheme="minorEastAsia" w:cstheme="minorHAnsi"/>
          <w:vertAlign w:val="superscript"/>
          <w:lang w:eastAsia="fr-FR"/>
        </w:rPr>
        <w:t>ème</w:t>
      </w:r>
      <w:r>
        <w:rPr>
          <w:rFonts w:eastAsiaTheme="minorEastAsia" w:cstheme="minorHAnsi"/>
          <w:lang w:eastAsia="fr-FR"/>
        </w:rPr>
        <w:t xml:space="preserve"> année </w:t>
      </w:r>
      <w:r>
        <w:rPr>
          <w:rFonts w:eastAsiaTheme="minorEastAsia" w:cs="Calibri"/>
          <w:bCs/>
          <w:color w:val="000000"/>
          <w:lang w:eastAsia="fr-FR"/>
        </w:rPr>
        <w:t>supplémentaire</w:t>
      </w:r>
      <w:r w:rsidRPr="0058758A">
        <w:rPr>
          <w:rFonts w:eastAsiaTheme="minorEastAsia" w:cs="Calibri"/>
          <w:bCs/>
          <w:color w:val="000000"/>
          <w:lang w:eastAsia="fr-FR"/>
        </w:rPr>
        <w:t xml:space="preserve"> de maintenance préventive annuelle forfaitaire </w:t>
      </w:r>
      <w:r w:rsidRPr="0058758A">
        <w:rPr>
          <w:rFonts w:cs="Calibri"/>
        </w:rPr>
        <w:t>pour l’ensemble des deux appareils :</w:t>
      </w:r>
    </w:p>
    <w:p w14:paraId="104033CC" w14:textId="77777777" w:rsidR="003A4A1A" w:rsidRPr="0058758A" w:rsidRDefault="003A4A1A" w:rsidP="003A4A1A">
      <w:pPr>
        <w:keepLines/>
        <w:widowControl w:val="0"/>
        <w:autoSpaceDE w:val="0"/>
        <w:autoSpaceDN w:val="0"/>
        <w:adjustRightInd w:val="0"/>
        <w:ind w:left="119" w:right="113"/>
        <w:rPr>
          <w:rFonts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3A4A1A" w:rsidRPr="0058758A" w14:paraId="1C4AD21C" w14:textId="77777777" w:rsidTr="003840C3">
        <w:tc>
          <w:tcPr>
            <w:tcW w:w="9348" w:type="dxa"/>
            <w:gridSpan w:val="2"/>
            <w:tcBorders>
              <w:top w:val="single" w:sz="6" w:space="0" w:color="C0C0C0"/>
              <w:left w:val="single" w:sz="6" w:space="0" w:color="C0C0C0"/>
              <w:bottom w:val="single" w:sz="6" w:space="0" w:color="C0C0C0"/>
              <w:right w:val="single" w:sz="12" w:space="0" w:color="C0C0C0"/>
            </w:tcBorders>
            <w:shd w:val="clear" w:color="auto" w:fill="FFFFFF"/>
          </w:tcPr>
          <w:p w14:paraId="0A0FD429" w14:textId="77777777" w:rsidR="003A4A1A" w:rsidRPr="0058758A" w:rsidRDefault="003A4A1A" w:rsidP="003840C3">
            <w:pPr>
              <w:keepLines/>
              <w:widowControl w:val="0"/>
              <w:autoSpaceDE w:val="0"/>
              <w:autoSpaceDN w:val="0"/>
              <w:adjustRightInd w:val="0"/>
              <w:spacing w:before="60" w:after="60"/>
              <w:ind w:left="126" w:right="80"/>
              <w:jc w:val="left"/>
              <w:rPr>
                <w:rFonts w:eastAsiaTheme="minorEastAsia" w:cstheme="minorHAnsi"/>
                <w:color w:val="000000"/>
                <w:lang w:eastAsia="fr-FR"/>
              </w:rPr>
            </w:pPr>
            <w:r w:rsidRPr="0058758A">
              <w:rPr>
                <w:rFonts w:eastAsiaTheme="minorEastAsia" w:cstheme="minorHAnsi"/>
                <w:color w:val="000000"/>
                <w:lang w:eastAsia="fr-FR"/>
              </w:rPr>
              <w:t>Intitulé :</w:t>
            </w:r>
          </w:p>
        </w:tc>
      </w:tr>
      <w:tr w:rsidR="003A4A1A" w:rsidRPr="0058758A" w14:paraId="3243D5AE"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D6B2BE6"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color w:val="FF0000"/>
                <w:lang w:eastAsia="fr-FR"/>
              </w:rPr>
            </w:pPr>
            <w:r w:rsidRPr="0058758A">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3800B72" w14:textId="77777777" w:rsidR="003A4A1A" w:rsidRPr="0058758A" w:rsidRDefault="003A4A1A" w:rsidP="003840C3">
            <w:pPr>
              <w:keepLines/>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w:t>
            </w:r>
          </w:p>
        </w:tc>
      </w:tr>
      <w:tr w:rsidR="003A4A1A" w:rsidRPr="0058758A" w14:paraId="156FE871"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F692FB4"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157EEC6" w14:textId="77777777" w:rsidR="003A4A1A" w:rsidRPr="0058758A" w:rsidRDefault="003A4A1A" w:rsidP="003840C3">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58758A">
              <w:rPr>
                <w:rFonts w:eastAsiaTheme="minorEastAsia" w:cstheme="minorHAnsi"/>
                <w:color w:val="000000"/>
                <w:lang w:eastAsia="fr-FR"/>
              </w:rPr>
              <w:t>%</w:t>
            </w:r>
          </w:p>
        </w:tc>
      </w:tr>
      <w:tr w:rsidR="003A4A1A" w:rsidRPr="0058758A" w14:paraId="2A853A23"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134E79C"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color w:val="000000"/>
                <w:lang w:eastAsia="fr-FR"/>
              </w:rPr>
            </w:pPr>
            <w:r w:rsidRPr="0058758A">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5A5F3C2" w14:textId="77777777" w:rsidR="003A4A1A" w:rsidRPr="0058758A" w:rsidRDefault="003A4A1A" w:rsidP="003840C3">
            <w:pPr>
              <w:widowControl w:val="0"/>
              <w:autoSpaceDE w:val="0"/>
              <w:autoSpaceDN w:val="0"/>
              <w:adjustRightInd w:val="0"/>
              <w:spacing w:before="60" w:after="60"/>
              <w:ind w:left="126" w:right="80"/>
              <w:jc w:val="right"/>
              <w:rPr>
                <w:rFonts w:eastAsiaTheme="minorEastAsia" w:cstheme="minorHAnsi"/>
                <w:color w:val="000000"/>
                <w:lang w:eastAsia="fr-FR"/>
              </w:rPr>
            </w:pPr>
            <w:r w:rsidRPr="0058758A">
              <w:rPr>
                <w:rFonts w:eastAsiaTheme="minorEastAsia" w:cstheme="minorHAnsi"/>
                <w:color w:val="000000"/>
                <w:lang w:eastAsia="fr-FR"/>
              </w:rPr>
              <w:t xml:space="preserve"> €</w:t>
            </w:r>
          </w:p>
        </w:tc>
      </w:tr>
      <w:tr w:rsidR="003A4A1A" w:rsidRPr="0058758A" w14:paraId="66D74FE7" w14:textId="77777777" w:rsidTr="003840C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4141BCB" w14:textId="77777777" w:rsidR="003A4A1A" w:rsidRPr="0058758A" w:rsidRDefault="003A4A1A" w:rsidP="003840C3">
            <w:pPr>
              <w:keepLines/>
              <w:widowControl w:val="0"/>
              <w:autoSpaceDE w:val="0"/>
              <w:autoSpaceDN w:val="0"/>
              <w:adjustRightInd w:val="0"/>
              <w:spacing w:before="60" w:after="60"/>
              <w:ind w:left="108" w:right="90"/>
              <w:rPr>
                <w:rFonts w:eastAsiaTheme="minorEastAsia" w:cstheme="minorHAnsi"/>
                <w:lang w:eastAsia="fr-FR"/>
              </w:rPr>
            </w:pPr>
            <w:r w:rsidRPr="0058758A">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227B14BD" w14:textId="77777777" w:rsidR="003A4A1A" w:rsidRPr="0058758A" w:rsidRDefault="003A4A1A" w:rsidP="003840C3">
            <w:pPr>
              <w:widowControl w:val="0"/>
              <w:autoSpaceDE w:val="0"/>
              <w:autoSpaceDN w:val="0"/>
              <w:adjustRightInd w:val="0"/>
              <w:spacing w:before="60" w:after="60"/>
              <w:ind w:left="126" w:right="80"/>
              <w:jc w:val="right"/>
              <w:rPr>
                <w:rFonts w:eastAsiaTheme="minorEastAsia" w:cstheme="minorHAnsi"/>
                <w:lang w:eastAsia="fr-FR"/>
              </w:rPr>
            </w:pPr>
            <w:r w:rsidRPr="0058758A">
              <w:rPr>
                <w:rFonts w:eastAsiaTheme="minorEastAsia" w:cstheme="minorHAnsi"/>
                <w:color w:val="000000"/>
                <w:lang w:eastAsia="fr-FR"/>
              </w:rPr>
              <w:t xml:space="preserve"> €</w:t>
            </w:r>
          </w:p>
        </w:tc>
      </w:tr>
    </w:tbl>
    <w:p w14:paraId="5D728071" w14:textId="77777777" w:rsidR="004A011E" w:rsidRDefault="004A011E" w:rsidP="00392D42">
      <w:pPr>
        <w:spacing w:before="240"/>
      </w:pPr>
    </w:p>
    <w:p w14:paraId="6B6CED3E" w14:textId="7E3BF6A8" w:rsidR="00E1324A" w:rsidRPr="0058758A" w:rsidRDefault="00392D42" w:rsidP="00392D42">
      <w:pPr>
        <w:spacing w:before="240"/>
      </w:pPr>
      <w:r w:rsidRPr="0058758A">
        <w:t>L</w:t>
      </w:r>
      <w:r w:rsidR="00E1324A" w:rsidRPr="0058758A">
        <w:t>e marché est conclu à prix ferme et définitif.</w:t>
      </w:r>
    </w:p>
    <w:p w14:paraId="55EBEB75" w14:textId="77777777" w:rsidR="00B3398C" w:rsidRPr="0058758A" w:rsidRDefault="00911DB8" w:rsidP="009D5209">
      <w:pPr>
        <w:pStyle w:val="Titre2"/>
        <w:rPr>
          <w:rFonts w:ascii="AvenirNext LT Pro Cn" w:hAnsi="AvenirNext LT Pro Cn"/>
          <w:sz w:val="22"/>
          <w:szCs w:val="22"/>
        </w:rPr>
      </w:pPr>
      <w:bookmarkStart w:id="107" w:name="_Toc190693450"/>
      <w:r w:rsidRPr="0058758A">
        <w:rPr>
          <w:rFonts w:ascii="AvenirNext LT Pro Cn" w:hAnsi="AvenirNext LT Pro Cn"/>
          <w:sz w:val="22"/>
          <w:szCs w:val="22"/>
        </w:rPr>
        <w:t>Echéancier</w:t>
      </w:r>
      <w:r w:rsidR="00B3398C" w:rsidRPr="0058758A">
        <w:rPr>
          <w:rFonts w:ascii="AvenirNext LT Pro Cn" w:hAnsi="AvenirNext LT Pro Cn"/>
          <w:sz w:val="22"/>
          <w:szCs w:val="22"/>
        </w:rPr>
        <w:t xml:space="preserve"> de paiement</w:t>
      </w:r>
      <w:bookmarkEnd w:id="107"/>
    </w:p>
    <w:p w14:paraId="56B4BCFF" w14:textId="77777777" w:rsidR="00B3398C" w:rsidRPr="0058758A" w:rsidRDefault="00B3398C" w:rsidP="008630D8">
      <w:r w:rsidRPr="0058758A">
        <w:t>Le paiement des prestations se fait par virement administratif.</w:t>
      </w:r>
    </w:p>
    <w:p w14:paraId="640EAF3C" w14:textId="77777777" w:rsidR="00E1324A" w:rsidRPr="0058758A" w:rsidRDefault="00EF7869" w:rsidP="00E1324A">
      <w:r w:rsidRPr="0058758A">
        <w:t>Les prestations qui ont donné lieu à un commencement d’exécution du marché ouvrent droit à des acomptes.</w:t>
      </w:r>
    </w:p>
    <w:p w14:paraId="22656FCF" w14:textId="77777777" w:rsidR="00EF7869" w:rsidRPr="0058758A" w:rsidRDefault="00EF7869" w:rsidP="00E1324A">
      <w:r w:rsidRPr="0058758A">
        <w:t>Le versement des acomptes pour l’acquisition de l’équipement se décompose comme suit :</w:t>
      </w:r>
    </w:p>
    <w:p w14:paraId="5E46A460" w14:textId="77777777" w:rsidR="006F6952" w:rsidRPr="0058758A"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58758A">
        <w:rPr>
          <w:rFonts w:ascii="AvenirNext LT Pro Cn" w:hAnsi="AvenirNext LT Pro Cn" w:cstheme="minorHAnsi"/>
          <w:sz w:val="22"/>
          <w:szCs w:val="22"/>
        </w:rPr>
        <w:t xml:space="preserve">50% à la mise en ordre de marche (MOM) </w:t>
      </w:r>
    </w:p>
    <w:p w14:paraId="571CD1D6" w14:textId="77777777" w:rsidR="006F6952" w:rsidRPr="0058758A"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58758A">
        <w:rPr>
          <w:rFonts w:ascii="AvenirNext LT Pro Cn" w:hAnsi="AvenirNext LT Pro Cn" w:cstheme="minorHAnsi"/>
          <w:sz w:val="22"/>
          <w:szCs w:val="22"/>
        </w:rPr>
        <w:t xml:space="preserve">30% à la prononciation de la vérification d’aptitude (VA) </w:t>
      </w:r>
    </w:p>
    <w:p w14:paraId="07AAEC37" w14:textId="77777777" w:rsidR="006F6952" w:rsidRPr="0058758A" w:rsidRDefault="006F6952" w:rsidP="003946F1">
      <w:pPr>
        <w:pStyle w:val="Texte"/>
        <w:numPr>
          <w:ilvl w:val="0"/>
          <w:numId w:val="14"/>
        </w:numPr>
        <w:spacing w:before="60" w:after="0" w:line="240" w:lineRule="auto"/>
        <w:ind w:left="714" w:hanging="357"/>
        <w:rPr>
          <w:rFonts w:ascii="AvenirNext LT Pro Cn" w:hAnsi="AvenirNext LT Pro Cn" w:cstheme="minorHAnsi"/>
          <w:sz w:val="22"/>
          <w:szCs w:val="22"/>
        </w:rPr>
      </w:pPr>
      <w:r w:rsidRPr="0058758A">
        <w:rPr>
          <w:rFonts w:ascii="AvenirNext LT Pro Cn" w:hAnsi="AvenirNext LT Pro Cn" w:cstheme="minorHAnsi"/>
          <w:sz w:val="22"/>
          <w:szCs w:val="22"/>
        </w:rPr>
        <w:t xml:space="preserve">20% à la prononciation de la vérification de service régulier (VSR). </w:t>
      </w:r>
    </w:p>
    <w:p w14:paraId="3A41FF3C" w14:textId="77777777" w:rsidR="00E1324A" w:rsidRPr="0058758A" w:rsidRDefault="00E1324A" w:rsidP="00E1324A">
      <w:r w:rsidRPr="0058758A">
        <w:t>Conformément à l’article 11.2 du CCAG-FCS, chaque acompte doit faire l’objet d’une demande de paiement de la part du titulaire.</w:t>
      </w:r>
    </w:p>
    <w:p w14:paraId="2313BE1F" w14:textId="77777777" w:rsidR="00B3398C" w:rsidRPr="0058758A" w:rsidRDefault="00526614" w:rsidP="009D5209">
      <w:pPr>
        <w:pStyle w:val="Titre2"/>
        <w:rPr>
          <w:rFonts w:ascii="AvenirNext LT Pro Cn" w:hAnsi="AvenirNext LT Pro Cn"/>
          <w:sz w:val="22"/>
          <w:szCs w:val="22"/>
        </w:rPr>
      </w:pPr>
      <w:bookmarkStart w:id="108" w:name="_Toc190693451"/>
      <w:r w:rsidRPr="0058758A">
        <w:rPr>
          <w:rFonts w:ascii="AvenirNext LT Pro Cn" w:hAnsi="AvenirNext LT Pro Cn"/>
          <w:sz w:val="22"/>
          <w:szCs w:val="22"/>
        </w:rPr>
        <w:t>M</w:t>
      </w:r>
      <w:r w:rsidR="00B3398C" w:rsidRPr="0058758A">
        <w:rPr>
          <w:rFonts w:ascii="AvenirNext LT Pro Cn" w:hAnsi="AvenirNext LT Pro Cn"/>
          <w:sz w:val="22"/>
          <w:szCs w:val="22"/>
        </w:rPr>
        <w:t>odalités de paiement</w:t>
      </w:r>
      <w:bookmarkEnd w:id="108"/>
    </w:p>
    <w:p w14:paraId="477167CE" w14:textId="77777777" w:rsidR="00B3398C" w:rsidRPr="0058758A" w:rsidRDefault="00B3398C" w:rsidP="00890070">
      <w:r w:rsidRPr="0058758A">
        <w:t xml:space="preserve">Le règlement du titulaire interviendra selon </w:t>
      </w:r>
      <w:r w:rsidR="00911DB8" w:rsidRPr="0058758A">
        <w:t>l’échéancier prévu</w:t>
      </w:r>
      <w:r w:rsidR="00AA1ADB" w:rsidRPr="0058758A">
        <w:t xml:space="preserve"> à l’article 7</w:t>
      </w:r>
      <w:r w:rsidR="00526614" w:rsidRPr="0058758A">
        <w:t>.</w:t>
      </w:r>
      <w:r w:rsidRPr="0058758A">
        <w:t xml:space="preserve">2 du présent document. </w:t>
      </w:r>
    </w:p>
    <w:p w14:paraId="64A81AAF" w14:textId="77777777" w:rsidR="00CC6995" w:rsidRPr="0058758A" w:rsidRDefault="00CC6995" w:rsidP="00890070">
      <w:r w:rsidRPr="0058758A">
        <w:lastRenderedPageBreak/>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58758A">
        <w:t>.</w:t>
      </w:r>
    </w:p>
    <w:p w14:paraId="2014850A" w14:textId="77777777" w:rsidR="00CC6995" w:rsidRPr="0058758A" w:rsidRDefault="00CC6995" w:rsidP="00890070">
      <w:r w:rsidRPr="0058758A">
        <w:t xml:space="preserve">A l’heure actuelle, la transmission par le créancier de sa demande de paiement ne peut être prise en compte par </w:t>
      </w:r>
      <w:r w:rsidR="00E4467E" w:rsidRPr="0058758A">
        <w:t>INRAE</w:t>
      </w:r>
      <w:r w:rsidRPr="0058758A">
        <w:t xml:space="preserve"> que par dépôt au format </w:t>
      </w:r>
      <w:r w:rsidR="00E4467E" w:rsidRPr="0058758A">
        <w:t>PDF</w:t>
      </w:r>
      <w:r w:rsidR="00AB580E" w:rsidRPr="0058758A">
        <w:t xml:space="preserve"> </w:t>
      </w:r>
      <w:r w:rsidR="00BC6C36" w:rsidRPr="0058758A">
        <w:t xml:space="preserve">sur le site </w:t>
      </w:r>
      <w:hyperlink r:id="rId13" w:history="1">
        <w:r w:rsidR="00BC6C36" w:rsidRPr="0058758A">
          <w:rPr>
            <w:rStyle w:val="Lienhypertexte"/>
            <w:rFonts w:cs="Arial"/>
            <w:spacing w:val="4"/>
          </w:rPr>
          <w:t>https://chorus-pro.gouv.fr</w:t>
        </w:r>
      </w:hyperlink>
      <w:r w:rsidRPr="0058758A">
        <w:t>.</w:t>
      </w:r>
    </w:p>
    <w:p w14:paraId="4E40A5D3" w14:textId="77777777" w:rsidR="00B3398C" w:rsidRPr="0058758A" w:rsidRDefault="00B3398C" w:rsidP="008630D8">
      <w:r w:rsidRPr="0058758A">
        <w:t xml:space="preserve">Les factures seront établies en un original selon les règles prévues par la comptabilité publique. Elles comprendront outre les mentions légales, les renseignements suivants : </w:t>
      </w:r>
    </w:p>
    <w:p w14:paraId="21267DA6" w14:textId="2A5BCE6F" w:rsidR="00A455B4" w:rsidRPr="0058758A" w:rsidRDefault="00CC6995" w:rsidP="00A455B4">
      <w:pPr>
        <w:pStyle w:val="Paragraphedeliste"/>
        <w:numPr>
          <w:ilvl w:val="0"/>
          <w:numId w:val="1"/>
        </w:numPr>
        <w:spacing w:before="40" w:after="0"/>
        <w:ind w:left="714" w:hanging="357"/>
      </w:pPr>
      <w:r w:rsidRPr="0058758A">
        <w:t xml:space="preserve">Le numéro SIRET du centre </w:t>
      </w:r>
      <w:r w:rsidR="00E4467E" w:rsidRPr="0058758A">
        <w:t>INRAE</w:t>
      </w:r>
      <w:r w:rsidRPr="0058758A">
        <w:t xml:space="preserve"> </w:t>
      </w:r>
      <w:r w:rsidR="00BC6C36" w:rsidRPr="0058758A">
        <w:t>bénéficiaire</w:t>
      </w:r>
      <w:r w:rsidR="00A455B4" w:rsidRPr="0058758A">
        <w:t> :</w:t>
      </w:r>
      <w:r w:rsidR="00CB36E0" w:rsidRPr="0058758A">
        <w:t xml:space="preserve"> </w:t>
      </w:r>
      <w:sdt>
        <w:sdt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C12A8E" w:rsidRPr="0058758A">
            <w:t>JJA : 180 070 039 0078</w:t>
          </w:r>
        </w:sdtContent>
      </w:sdt>
    </w:p>
    <w:p w14:paraId="5CAF15A8" w14:textId="77777777" w:rsidR="00CC6995" w:rsidRPr="0058758A" w:rsidRDefault="005D4468" w:rsidP="00A80F9F">
      <w:pPr>
        <w:pStyle w:val="Paragraphedeliste"/>
        <w:numPr>
          <w:ilvl w:val="0"/>
          <w:numId w:val="1"/>
        </w:numPr>
        <w:spacing w:before="40" w:after="0"/>
        <w:ind w:left="714" w:hanging="357"/>
      </w:pPr>
      <w:r w:rsidRPr="0058758A">
        <w:t>Le numéro du marché</w:t>
      </w:r>
    </w:p>
    <w:p w14:paraId="43DEAB64" w14:textId="77777777" w:rsidR="00A455B4" w:rsidRPr="0058758A" w:rsidRDefault="00A455B4" w:rsidP="00A455B4">
      <w:pPr>
        <w:pStyle w:val="Paragraphedeliste"/>
        <w:numPr>
          <w:ilvl w:val="0"/>
          <w:numId w:val="1"/>
        </w:numPr>
        <w:spacing w:before="40" w:after="0"/>
        <w:ind w:left="714" w:hanging="357"/>
      </w:pPr>
      <w:r w:rsidRPr="0058758A">
        <w:t>Le numéro du bon de commande (n° d’engagement juridique)</w:t>
      </w:r>
    </w:p>
    <w:p w14:paraId="5062019B" w14:textId="77777777" w:rsidR="00CC6995" w:rsidRPr="0058758A" w:rsidRDefault="00B3398C" w:rsidP="00A80F9F">
      <w:pPr>
        <w:pStyle w:val="Paragraphedeliste"/>
        <w:numPr>
          <w:ilvl w:val="0"/>
          <w:numId w:val="1"/>
        </w:numPr>
        <w:spacing w:before="40" w:after="0"/>
        <w:ind w:left="714" w:hanging="357"/>
      </w:pPr>
      <w:r w:rsidRPr="0058758A">
        <w:t>Les prestations réalisées ou fournitures livrées</w:t>
      </w:r>
    </w:p>
    <w:p w14:paraId="5AE46ED3" w14:textId="77777777" w:rsidR="00CC6995" w:rsidRPr="0058758A" w:rsidRDefault="00B3398C" w:rsidP="00A80F9F">
      <w:pPr>
        <w:pStyle w:val="Paragraphedeliste"/>
        <w:numPr>
          <w:ilvl w:val="0"/>
          <w:numId w:val="1"/>
        </w:numPr>
        <w:spacing w:before="40" w:after="0"/>
        <w:ind w:left="714" w:hanging="357"/>
      </w:pPr>
      <w:r w:rsidRPr="0058758A">
        <w:t>Le montant HT des prestations ou fournitures</w:t>
      </w:r>
    </w:p>
    <w:p w14:paraId="087C747D" w14:textId="77777777" w:rsidR="00CC6995" w:rsidRPr="0058758A" w:rsidRDefault="00B3398C" w:rsidP="00A80F9F">
      <w:pPr>
        <w:pStyle w:val="Paragraphedeliste"/>
        <w:numPr>
          <w:ilvl w:val="0"/>
          <w:numId w:val="1"/>
        </w:numPr>
        <w:spacing w:before="40" w:after="0"/>
        <w:ind w:left="714" w:hanging="357"/>
      </w:pPr>
      <w:r w:rsidRPr="0058758A">
        <w:t>Le taux et le montant de la TVA</w:t>
      </w:r>
    </w:p>
    <w:p w14:paraId="298D9F1A" w14:textId="77777777" w:rsidR="00B3398C" w:rsidRPr="0058758A" w:rsidRDefault="00B3398C" w:rsidP="00A80F9F">
      <w:pPr>
        <w:pStyle w:val="Paragraphedeliste"/>
        <w:numPr>
          <w:ilvl w:val="0"/>
          <w:numId w:val="1"/>
        </w:numPr>
        <w:spacing w:before="40" w:after="0"/>
        <w:ind w:left="714" w:hanging="357"/>
      </w:pPr>
      <w:r w:rsidRPr="0058758A">
        <w:t>Le montant total TTC</w:t>
      </w:r>
    </w:p>
    <w:p w14:paraId="391D6B0F" w14:textId="77777777" w:rsidR="00CC6995" w:rsidRPr="0058758A" w:rsidRDefault="00CC6995" w:rsidP="008630D8">
      <w:r w:rsidRPr="0058758A">
        <w:t>Conformément aux dispositions de l’article 4.1 du décret n°2016-1478 du 2 novembre 2016 relatif au développement de la facturation électronique, l’utilisation du portail de facturation est exclusive de tout autre mode de transmission.</w:t>
      </w:r>
    </w:p>
    <w:p w14:paraId="38A0E448" w14:textId="77777777" w:rsidR="00A455B4" w:rsidRPr="0058758A" w:rsidRDefault="00A455B4" w:rsidP="008630D8">
      <w:r w:rsidRPr="0058758A">
        <w:t>L’annexe du présent AECCP détaille les modalités de transmission des factures sur Chorus Pro.</w:t>
      </w:r>
    </w:p>
    <w:p w14:paraId="0F628317" w14:textId="69DF0045" w:rsidR="00DD04CD" w:rsidRPr="0058758A" w:rsidRDefault="00B3398C" w:rsidP="008630D8">
      <w:pPr>
        <w:rPr>
          <w:rStyle w:val="Textedelespacerserv"/>
          <w:shd w:val="clear" w:color="auto" w:fill="F79646" w:themeFill="accent6"/>
        </w:rPr>
      </w:pPr>
      <w:r w:rsidRPr="0058758A">
        <w:t>L’ordonnateur chargé d’émettre le titre de paiement est</w:t>
      </w:r>
      <w:r w:rsidR="00DD04CD" w:rsidRPr="0058758A">
        <w:t xml:space="preserve">  </w:t>
      </w:r>
      <w:sdt>
        <w:sdt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C12A8E" w:rsidRPr="0058758A">
            <w:t>la Présidente</w:t>
          </w:r>
        </w:sdtContent>
      </w:sdt>
      <w:r w:rsidR="001051F5" w:rsidRPr="0058758A">
        <w:t xml:space="preserve"> </w:t>
      </w:r>
      <w:r w:rsidR="00F84DE2" w:rsidRPr="00163EEE">
        <w:t xml:space="preserve">du </w:t>
      </w:r>
      <w:r w:rsidR="00A455B4" w:rsidRPr="00163EEE">
        <w:t>c</w:t>
      </w:r>
      <w:r w:rsidRPr="00163EEE">
        <w:t>entre</w:t>
      </w:r>
      <w:r w:rsidR="001051F5" w:rsidRPr="00163EEE">
        <w:t xml:space="preserve"> </w:t>
      </w:r>
      <w:r w:rsidR="005304C9" w:rsidRPr="00163EEE">
        <w:t xml:space="preserve"> </w:t>
      </w:r>
      <w:r w:rsidR="00163EEE">
        <w:t xml:space="preserve">INRAE de Jouy-en-Josas – Antony </w:t>
      </w:r>
    </w:p>
    <w:p w14:paraId="514BB02B" w14:textId="029BF2AE" w:rsidR="000A175F" w:rsidRPr="0058758A" w:rsidRDefault="00B3398C" w:rsidP="008630D8">
      <w:r w:rsidRPr="0058758A">
        <w:t xml:space="preserve">Le paiement sera effectué par virement administratif au compte indiqué par le titulaire ci-dessous </w:t>
      </w:r>
      <w:r w:rsidRPr="0058758A">
        <w:rPr>
          <w:b/>
          <w:bCs/>
        </w:rPr>
        <w:t>(</w:t>
      </w:r>
      <w:r w:rsidRPr="0058758A">
        <w:rPr>
          <w:b/>
          <w:bCs/>
          <w:color w:val="FF0000"/>
        </w:rPr>
        <w:t>joindre un RIB</w:t>
      </w:r>
      <w:r w:rsidRPr="0058758A">
        <w:rPr>
          <w:b/>
          <w:bCs/>
        </w:rPr>
        <w:t>)</w:t>
      </w:r>
      <w:r w:rsidRPr="0058758A">
        <w:t xml:space="preserve"> : </w:t>
      </w:r>
    </w:p>
    <w:p w14:paraId="5FB23EE8" w14:textId="2F6D21F9" w:rsidR="00B3398C" w:rsidRPr="0058758A"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58758A">
        <w:t>Banque</w:t>
      </w:r>
      <w:r w:rsidRPr="0058758A">
        <w:tab/>
      </w:r>
      <w:r w:rsidR="00C12A8E" w:rsidRPr="0058758A">
        <w:tab/>
      </w:r>
      <w:r w:rsidRPr="0058758A">
        <w:t xml:space="preserve">: </w:t>
      </w:r>
    </w:p>
    <w:p w14:paraId="54242997" w14:textId="1952BFD2" w:rsidR="00B3398C" w:rsidRPr="0058758A"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58758A">
        <w:t>Code Banque</w:t>
      </w:r>
      <w:r w:rsidRPr="0058758A">
        <w:tab/>
        <w:t>:</w:t>
      </w:r>
      <w:r w:rsidR="00C12A8E" w:rsidRPr="0058758A">
        <w:t xml:space="preserve"> </w:t>
      </w:r>
    </w:p>
    <w:p w14:paraId="0A5C617F" w14:textId="5E8A4AD9" w:rsidR="00B3398C" w:rsidRPr="0058758A"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58758A">
        <w:t>Code Guichet</w:t>
      </w:r>
      <w:r w:rsidRPr="0058758A">
        <w:tab/>
        <w:t xml:space="preserve">: </w:t>
      </w:r>
    </w:p>
    <w:p w14:paraId="1514FE3C" w14:textId="7961D51D" w:rsidR="00B3398C" w:rsidRPr="0058758A"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58758A">
        <w:t>Compte n°</w:t>
      </w:r>
      <w:r w:rsidRPr="0058758A">
        <w:tab/>
        <w:t>:</w:t>
      </w:r>
    </w:p>
    <w:p w14:paraId="616A0701" w14:textId="75B5942E" w:rsidR="00B3398C" w:rsidRPr="0058758A" w:rsidRDefault="00B3398C" w:rsidP="00D71F32">
      <w:pPr>
        <w:pBdr>
          <w:top w:val="single" w:sz="4" w:space="1" w:color="auto"/>
          <w:left w:val="single" w:sz="4" w:space="4" w:color="auto"/>
          <w:bottom w:val="single" w:sz="4" w:space="1" w:color="auto"/>
          <w:right w:val="single" w:sz="4" w:space="4" w:color="auto"/>
        </w:pBdr>
        <w:spacing w:before="0" w:after="0"/>
        <w:ind w:left="1440"/>
      </w:pPr>
      <w:r w:rsidRPr="0058758A">
        <w:t>Clé</w:t>
      </w:r>
      <w:r w:rsidRPr="0058758A">
        <w:tab/>
      </w:r>
      <w:r w:rsidR="00C12A8E" w:rsidRPr="0058758A">
        <w:tab/>
      </w:r>
      <w:r w:rsidRPr="0058758A">
        <w:t>:</w:t>
      </w:r>
      <w:r w:rsidR="00CD6F99" w:rsidRPr="0058758A">
        <w:t xml:space="preserve"> </w:t>
      </w:r>
    </w:p>
    <w:p w14:paraId="3B9BAEF2" w14:textId="77777777" w:rsidR="00B3398C" w:rsidRPr="0058758A" w:rsidRDefault="005D4468" w:rsidP="008630D8">
      <w:r w:rsidRPr="0058758A">
        <w:t xml:space="preserve">Le délai global de paiement est de </w:t>
      </w:r>
      <w:r w:rsidR="00AA3FDE" w:rsidRPr="0058758A">
        <w:t>30</w:t>
      </w:r>
      <w:r w:rsidRPr="0058758A">
        <w:t xml:space="preserve"> jours maximum à compter de la réception de la facture dans les formes prescrites.</w:t>
      </w:r>
    </w:p>
    <w:p w14:paraId="5E933DDF" w14:textId="77777777" w:rsidR="00B3398C" w:rsidRPr="0058758A" w:rsidRDefault="00B3398C" w:rsidP="008630D8">
      <w:r w:rsidRPr="0058758A">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58758A">
        <w:t xml:space="preserve">courir, majoré de </w:t>
      </w:r>
      <w:r w:rsidR="00AA3FDE" w:rsidRPr="0058758A">
        <w:t>hui</w:t>
      </w:r>
      <w:r w:rsidR="004968F7" w:rsidRPr="0058758A">
        <w:t>t points</w:t>
      </w:r>
      <w:r w:rsidRPr="0058758A">
        <w:t>.</w:t>
      </w:r>
      <w:r w:rsidR="0026288D" w:rsidRPr="0058758A">
        <w:t xml:space="preserve"> Une indemnité forfaitaire de 40 € correspondant aux frais de recouvrement sera versée.</w:t>
      </w:r>
    </w:p>
    <w:p w14:paraId="51B98A8C" w14:textId="071A775B" w:rsidR="00B3398C" w:rsidRPr="0058758A" w:rsidRDefault="00B3398C" w:rsidP="008630D8">
      <w:r w:rsidRPr="0058758A">
        <w:t>Le règlement sera effectué au compte ban</w:t>
      </w:r>
      <w:r w:rsidR="005144E6" w:rsidRPr="0058758A">
        <w:t>caire indiqué par le t</w:t>
      </w:r>
      <w:r w:rsidRPr="0058758A">
        <w:t xml:space="preserve">itulaire </w:t>
      </w:r>
      <w:r w:rsidR="00911DB8" w:rsidRPr="0058758A">
        <w:t>ci-dessus.</w:t>
      </w:r>
    </w:p>
    <w:p w14:paraId="56050456" w14:textId="77777777" w:rsidR="00B3398C" w:rsidRPr="0058758A" w:rsidRDefault="00B3398C" w:rsidP="00A33A99">
      <w:pPr>
        <w:pStyle w:val="Titre1"/>
        <w:spacing w:after="240"/>
        <w:ind w:left="357" w:hanging="357"/>
        <w:rPr>
          <w:rFonts w:ascii="AvenirNext LT Pro Cn" w:hAnsi="AvenirNext LT Pro Cn"/>
          <w:sz w:val="22"/>
          <w:szCs w:val="22"/>
        </w:rPr>
      </w:pPr>
      <w:bookmarkStart w:id="109" w:name="_Toc180401023"/>
      <w:bookmarkStart w:id="110" w:name="_Toc180401160"/>
      <w:bookmarkStart w:id="111" w:name="_Toc180401024"/>
      <w:bookmarkStart w:id="112" w:name="_Toc180401161"/>
      <w:bookmarkStart w:id="113" w:name="_Toc180401025"/>
      <w:bookmarkStart w:id="114" w:name="_Toc180401162"/>
      <w:bookmarkStart w:id="115" w:name="_Toc180401026"/>
      <w:bookmarkStart w:id="116" w:name="_Toc180401163"/>
      <w:bookmarkStart w:id="117" w:name="_Toc190693452"/>
      <w:bookmarkEnd w:id="109"/>
      <w:bookmarkEnd w:id="110"/>
      <w:bookmarkEnd w:id="111"/>
      <w:bookmarkEnd w:id="112"/>
      <w:bookmarkEnd w:id="113"/>
      <w:bookmarkEnd w:id="114"/>
      <w:bookmarkEnd w:id="115"/>
      <w:bookmarkEnd w:id="116"/>
      <w:r w:rsidRPr="0058758A">
        <w:rPr>
          <w:rFonts w:ascii="AvenirNext LT Pro Cn" w:hAnsi="AvenirNext LT Pro Cn"/>
          <w:sz w:val="22"/>
          <w:szCs w:val="22"/>
        </w:rPr>
        <w:t>AVANCE</w:t>
      </w:r>
      <w:bookmarkEnd w:id="117"/>
      <w:r w:rsidRPr="0058758A">
        <w:rPr>
          <w:rFonts w:ascii="AvenirNext LT Pro Cn" w:hAnsi="AvenirNext LT Pro Cn"/>
          <w:sz w:val="22"/>
          <w:szCs w:val="22"/>
        </w:rPr>
        <w:t xml:space="preserve"> </w:t>
      </w:r>
    </w:p>
    <w:p w14:paraId="19842B2A" w14:textId="77777777" w:rsidR="00BE518A" w:rsidRPr="0058758A" w:rsidRDefault="00BE518A" w:rsidP="00BE518A">
      <w:r w:rsidRPr="0058758A">
        <w:t>L’option B du CCAG s’applique</w:t>
      </w:r>
      <w:r w:rsidR="001051F5" w:rsidRPr="0058758A">
        <w:t>. Le taux de l’avance est fixé à</w:t>
      </w:r>
      <w:r w:rsidRPr="0058758A">
        <w:t xml:space="preserve"> 10%</w:t>
      </w:r>
      <w:r w:rsidR="00B76FF0" w:rsidRPr="0058758A">
        <w:t>.</w:t>
      </w:r>
      <w:r w:rsidRPr="0058758A">
        <w:t xml:space="preserve"> </w:t>
      </w:r>
    </w:p>
    <w:p w14:paraId="7E78AE84" w14:textId="77777777" w:rsidR="003D5F07" w:rsidRPr="0058758A" w:rsidRDefault="00F85B11" w:rsidP="00220244">
      <w:r w:rsidRPr="0058758A">
        <w:t>Le titulaire bénéficie d’une avance, dans les conditions de</w:t>
      </w:r>
      <w:r w:rsidR="002B5C0D" w:rsidRPr="0058758A">
        <w:t xml:space="preserve">s </w:t>
      </w:r>
      <w:r w:rsidRPr="0058758A">
        <w:t>articl</w:t>
      </w:r>
      <w:r w:rsidR="002B5C0D" w:rsidRPr="0058758A">
        <w:t>es R2191-3</w:t>
      </w:r>
      <w:r w:rsidR="006A466F" w:rsidRPr="0058758A">
        <w:t xml:space="preserve"> </w:t>
      </w:r>
      <w:r w:rsidR="002B5C0D" w:rsidRPr="0058758A">
        <w:t xml:space="preserve">et </w:t>
      </w:r>
      <w:r w:rsidR="00A0496B" w:rsidRPr="0058758A">
        <w:t>suivants</w:t>
      </w:r>
      <w:r w:rsidR="002B5C0D" w:rsidRPr="0058758A">
        <w:t xml:space="preserve"> </w:t>
      </w:r>
      <w:r w:rsidR="000B7E1A" w:rsidRPr="0058758A">
        <w:t xml:space="preserve">du </w:t>
      </w:r>
      <w:r w:rsidR="00B76FF0" w:rsidRPr="0058758A">
        <w:t>c</w:t>
      </w:r>
      <w:r w:rsidR="000B7E1A" w:rsidRPr="0058758A">
        <w:t xml:space="preserve">ode de la </w:t>
      </w:r>
      <w:r w:rsidR="00B76FF0" w:rsidRPr="0058758A">
        <w:t>c</w:t>
      </w:r>
      <w:r w:rsidR="000B7E1A" w:rsidRPr="0058758A">
        <w:t xml:space="preserve">ommande </w:t>
      </w:r>
      <w:r w:rsidR="00B76FF0" w:rsidRPr="0058758A">
        <w:t>p</w:t>
      </w:r>
      <w:r w:rsidR="000B7E1A" w:rsidRPr="0058758A">
        <w:t>ublique</w:t>
      </w:r>
      <w:r w:rsidRPr="0058758A">
        <w:t>, si le montant initial du marché est supérieur à 50 000 € HT</w:t>
      </w:r>
      <w:r w:rsidR="00FB2BDC" w:rsidRPr="0058758A">
        <w:t xml:space="preserve"> et si le délai d’exécution est supérieur à 2 mois</w:t>
      </w:r>
      <w:r w:rsidRPr="0058758A">
        <w:t xml:space="preserve">, sauf renonciation expresse </w:t>
      </w:r>
      <w:r w:rsidR="005144E6" w:rsidRPr="0058758A">
        <w:t xml:space="preserve">du titulaire </w:t>
      </w:r>
      <w:r w:rsidRPr="0058758A">
        <w:t xml:space="preserve">en page 2 du présent document. </w:t>
      </w:r>
    </w:p>
    <w:p w14:paraId="76CBE9FF" w14:textId="13335B0F" w:rsidR="003603A7" w:rsidRPr="0058758A" w:rsidRDefault="003603A7" w:rsidP="003603A7">
      <w:pPr>
        <w:rPr>
          <w:i/>
        </w:rPr>
      </w:pPr>
      <w:r w:rsidRPr="0058758A">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58758A">
        <w:rPr>
          <w:i/>
        </w:rPr>
        <w:t>.</w:t>
      </w:r>
    </w:p>
    <w:p w14:paraId="3439000E" w14:textId="77777777" w:rsidR="00FB690E" w:rsidRPr="0058758A" w:rsidRDefault="00FB690E" w:rsidP="003603A7">
      <w:pPr>
        <w:rPr>
          <w:i/>
        </w:rPr>
      </w:pPr>
    </w:p>
    <w:p w14:paraId="07DCD925" w14:textId="77777777" w:rsidR="003603A7" w:rsidRPr="0058758A" w:rsidRDefault="003603A7" w:rsidP="00220244"/>
    <w:p w14:paraId="1431D347" w14:textId="1936889C" w:rsidR="006D028A" w:rsidRPr="0058758A" w:rsidRDefault="006D028A" w:rsidP="006D028A">
      <w:pPr>
        <w:pStyle w:val="Titre1"/>
        <w:rPr>
          <w:rFonts w:ascii="AvenirNext LT Pro Cn" w:hAnsi="AvenirNext LT Pro Cn"/>
          <w:sz w:val="22"/>
          <w:szCs w:val="22"/>
        </w:rPr>
      </w:pPr>
      <w:r w:rsidRPr="0058758A">
        <w:rPr>
          <w:rFonts w:ascii="AvenirNext LT Pro Cn" w:hAnsi="AvenirNext LT Pro Cn"/>
          <w:sz w:val="22"/>
          <w:szCs w:val="22"/>
        </w:rPr>
        <w:lastRenderedPageBreak/>
        <w:t xml:space="preserve">     </w:t>
      </w:r>
      <w:bookmarkStart w:id="118" w:name="_Toc190693453"/>
      <w:r w:rsidRPr="0058758A">
        <w:rPr>
          <w:rFonts w:ascii="AvenirNext LT Pro Cn" w:hAnsi="AvenirNext LT Pro Cn"/>
          <w:sz w:val="22"/>
          <w:szCs w:val="22"/>
        </w:rPr>
        <w:t xml:space="preserve">PENALITES </w:t>
      </w:r>
      <w:r w:rsidR="003A62C4" w:rsidRPr="0058758A">
        <w:rPr>
          <w:rFonts w:ascii="AvenirNext LT Pro Cn" w:hAnsi="AvenirNext LT Pro Cn"/>
          <w:sz w:val="22"/>
          <w:szCs w:val="22"/>
        </w:rPr>
        <w:t>APPLICABLES</w:t>
      </w:r>
      <w:bookmarkEnd w:id="118"/>
    </w:p>
    <w:p w14:paraId="2245452B" w14:textId="7FA0113B" w:rsidR="003A62C4" w:rsidRPr="0058758A" w:rsidRDefault="003A62C4" w:rsidP="003A62C4"/>
    <w:p w14:paraId="0AC9A557" w14:textId="77777777" w:rsidR="003A62C4" w:rsidRPr="0058758A" w:rsidRDefault="003A62C4" w:rsidP="003A62C4">
      <w:r w:rsidRPr="0058758A">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Pr="0058758A" w:rsidRDefault="003A62C4" w:rsidP="003A62C4">
      <w:r w:rsidRPr="0058758A">
        <w:t>Les pénalités applicables sont cumulables entre elles et complètent l’article 14 du CCAG-FCS.</w:t>
      </w:r>
    </w:p>
    <w:p w14:paraId="3775CEFC" w14:textId="77777777" w:rsidR="003A62C4" w:rsidRPr="0058758A" w:rsidRDefault="003A62C4" w:rsidP="003A62C4">
      <w:r w:rsidRPr="0058758A">
        <w:t>Ces pénalités sont déduites du montant restant dû par INRAE ou font l’objet d’un ordre de reversement à l’encontre du titulaire. Elles restent dues en cas de résiliation du marché.</w:t>
      </w:r>
    </w:p>
    <w:p w14:paraId="3D925BDC" w14:textId="49501E59" w:rsidR="003A62C4" w:rsidRPr="0058758A" w:rsidRDefault="003A62C4" w:rsidP="003A62C4">
      <w:r w:rsidRPr="0058758A">
        <w:t>Par dérogation à l’article 14.1.3 du CCAG-FCS, le titulaire n’est pas exonéré des pénalités dont le montant ne dépasse pas 1 000 € pour l’ensemble du marché.</w:t>
      </w:r>
    </w:p>
    <w:p w14:paraId="21A92336" w14:textId="43F16FB3" w:rsidR="00186FA0" w:rsidRPr="0058758A" w:rsidRDefault="00186FA0" w:rsidP="003A62C4">
      <w:pPr>
        <w:rPr>
          <w:color w:val="E36C0A" w:themeColor="accent6" w:themeShade="BF"/>
        </w:rPr>
      </w:pPr>
      <w:r w:rsidRPr="0058758A">
        <w:t>Par dérogation à l’article 14 du CCAG-FCS, le montant total de l’ensemble des pénalités appliquées dans le cadre de l’exécution du présent marché ne peut dépasser 20% du prix global et forfaitaire du marché</w:t>
      </w:r>
      <w:r w:rsidR="00280B7D" w:rsidRPr="0058758A">
        <w:t>.</w:t>
      </w:r>
    </w:p>
    <w:p w14:paraId="32DAD73F" w14:textId="77777777" w:rsidR="003A62C4" w:rsidRPr="0058758A" w:rsidRDefault="003A62C4" w:rsidP="003A62C4">
      <w:r w:rsidRPr="0058758A">
        <w:t>Les pénalités sont dues dès le premier euro et dès le premier jour de retard. Celles-ci sont exprimées en jours calendaires et incluent donc les samedi, dimanche et les jours fériés.</w:t>
      </w:r>
    </w:p>
    <w:p w14:paraId="56830802" w14:textId="77777777" w:rsidR="00B07A17" w:rsidRPr="0058758A" w:rsidRDefault="00B07A17" w:rsidP="009D5209">
      <w:pPr>
        <w:pStyle w:val="Titre2"/>
        <w:rPr>
          <w:rFonts w:ascii="AvenirNext LT Pro Cn" w:hAnsi="AvenirNext LT Pro Cn"/>
          <w:sz w:val="22"/>
          <w:szCs w:val="22"/>
        </w:rPr>
      </w:pPr>
      <w:bookmarkStart w:id="119" w:name="_Toc190693454"/>
      <w:r w:rsidRPr="0058758A">
        <w:rPr>
          <w:rFonts w:ascii="AvenirNext LT Pro Cn" w:hAnsi="AvenirNext LT Pro Cn"/>
          <w:sz w:val="22"/>
          <w:szCs w:val="22"/>
        </w:rPr>
        <w:t>- Pénalités pour retard</w:t>
      </w:r>
      <w:bookmarkEnd w:id="119"/>
    </w:p>
    <w:p w14:paraId="7BD71DEC" w14:textId="77777777" w:rsidR="00B07A17" w:rsidRPr="0058758A" w:rsidRDefault="00B07A17" w:rsidP="00B07A17">
      <w:pPr>
        <w:spacing w:before="240"/>
      </w:pPr>
      <w:r w:rsidRPr="0058758A">
        <w:t xml:space="preserve">Conformément à l’article 14 du CCAG-FCS, lorsque le délai contractuel d’exécution du marché est dépassé, par le fait du titulaire, celui-ci encourt, </w:t>
      </w:r>
      <w:r w:rsidR="00B367C3" w:rsidRPr="0058758A">
        <w:t>après</w:t>
      </w:r>
      <w:r w:rsidRPr="0058758A">
        <w:t xml:space="preserve"> mise en demeure préalable, une pénalité de retard.</w:t>
      </w:r>
    </w:p>
    <w:p w14:paraId="06A3E7D7" w14:textId="77777777" w:rsidR="00B07A17" w:rsidRPr="0058758A" w:rsidRDefault="00B07A17" w:rsidP="00B07A17">
      <w:r w:rsidRPr="0058758A">
        <w:t>Cette pénalité est calculée par application de la formule suivante :</w:t>
      </w:r>
    </w:p>
    <w:p w14:paraId="5901D562" w14:textId="77777777" w:rsidR="00B07A17" w:rsidRPr="0058758A" w:rsidRDefault="00B07A17" w:rsidP="00B07A17">
      <w:pPr>
        <w:rPr>
          <w:b/>
        </w:rPr>
      </w:pPr>
      <w:r w:rsidRPr="0058758A">
        <w:rPr>
          <w:b/>
        </w:rPr>
        <w:t>P = V x R / 1000</w:t>
      </w:r>
    </w:p>
    <w:p w14:paraId="3663E5DF" w14:textId="77777777" w:rsidR="00B07A17" w:rsidRPr="0058758A" w:rsidRDefault="00B07A17" w:rsidP="00B07A17">
      <w:r w:rsidRPr="0058758A">
        <w:t>Dans laquelle :</w:t>
      </w:r>
    </w:p>
    <w:p w14:paraId="31766A9D" w14:textId="77777777" w:rsidR="00B07A17" w:rsidRPr="0058758A" w:rsidRDefault="00B07A17" w:rsidP="003946F1">
      <w:pPr>
        <w:pStyle w:val="Paragraphedeliste"/>
        <w:numPr>
          <w:ilvl w:val="0"/>
          <w:numId w:val="6"/>
        </w:numPr>
        <w:spacing w:before="0" w:after="0"/>
        <w:ind w:left="714" w:hanging="357"/>
      </w:pPr>
      <w:r w:rsidRPr="0058758A">
        <w:t>P correspond au montant de la pénalité</w:t>
      </w:r>
    </w:p>
    <w:p w14:paraId="26E4D145" w14:textId="77777777" w:rsidR="00B07A17" w:rsidRPr="0058758A" w:rsidRDefault="00B07A17" w:rsidP="003946F1">
      <w:pPr>
        <w:pStyle w:val="Paragraphedeliste"/>
        <w:numPr>
          <w:ilvl w:val="0"/>
          <w:numId w:val="6"/>
        </w:numPr>
        <w:spacing w:before="0" w:after="0"/>
        <w:ind w:left="714" w:hanging="357"/>
      </w:pPr>
      <w:r w:rsidRPr="0058758A">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77777777" w:rsidR="00B07A17" w:rsidRPr="0058758A" w:rsidRDefault="00B07A17" w:rsidP="003946F1">
      <w:pPr>
        <w:pStyle w:val="Paragraphedeliste"/>
        <w:numPr>
          <w:ilvl w:val="0"/>
          <w:numId w:val="6"/>
        </w:numPr>
        <w:spacing w:before="0" w:after="0"/>
        <w:ind w:left="714" w:hanging="357"/>
      </w:pPr>
      <w:r w:rsidRPr="0058758A">
        <w:t>R correspond au nombre de jours de retard.</w:t>
      </w:r>
    </w:p>
    <w:p w14:paraId="17E681BA" w14:textId="4F427E13" w:rsidR="00892F5B" w:rsidRPr="0058758A" w:rsidRDefault="00760980" w:rsidP="009D5209">
      <w:pPr>
        <w:pStyle w:val="Titre2"/>
        <w:rPr>
          <w:rFonts w:ascii="AvenirNext LT Pro Cn" w:hAnsi="AvenirNext LT Pro Cn"/>
          <w:sz w:val="22"/>
          <w:szCs w:val="22"/>
        </w:rPr>
      </w:pPr>
      <w:bookmarkStart w:id="120" w:name="_Toc190693455"/>
      <w:r w:rsidRPr="0058758A">
        <w:rPr>
          <w:rFonts w:ascii="AvenirNext LT Pro Cn" w:hAnsi="AvenirNext LT Pro Cn"/>
          <w:sz w:val="22"/>
          <w:szCs w:val="22"/>
        </w:rPr>
        <w:t xml:space="preserve">- </w:t>
      </w:r>
      <w:r w:rsidR="00892F5B" w:rsidRPr="0058758A">
        <w:rPr>
          <w:rFonts w:ascii="AvenirNext LT Pro Cn" w:hAnsi="AvenirNext LT Pro Cn"/>
          <w:sz w:val="22"/>
          <w:szCs w:val="22"/>
        </w:rPr>
        <w:t>- Pénalités pour non-respect du délai d’intervention en cas de panne</w:t>
      </w:r>
      <w:bookmarkEnd w:id="120"/>
    </w:p>
    <w:p w14:paraId="010B888D" w14:textId="77777777" w:rsidR="00892F5B" w:rsidRPr="0058758A" w:rsidRDefault="00892F5B" w:rsidP="00892F5B">
      <w:pPr>
        <w:spacing w:before="0" w:after="0"/>
      </w:pPr>
    </w:p>
    <w:p w14:paraId="328243BE" w14:textId="77777777" w:rsidR="00892F5B" w:rsidRPr="0058758A" w:rsidRDefault="00892F5B" w:rsidP="00892F5B">
      <w:pPr>
        <w:spacing w:before="0" w:after="0"/>
      </w:pPr>
      <w:r w:rsidRPr="0058758A">
        <w:t>En garantie comme en maintenance, en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4A6DA48B" w14:textId="77777777" w:rsidR="00892F5B" w:rsidRPr="0058758A" w:rsidRDefault="00892F5B" w:rsidP="00892F5B">
      <w:pPr>
        <w:spacing w:before="0" w:after="0"/>
      </w:pPr>
    </w:p>
    <w:p w14:paraId="6B4E49A3" w14:textId="77777777" w:rsidR="00892F5B" w:rsidRPr="0058758A" w:rsidRDefault="00892F5B" w:rsidP="00892F5B">
      <w:pPr>
        <w:spacing w:before="0" w:after="0"/>
      </w:pPr>
    </w:p>
    <w:p w14:paraId="356BF258" w14:textId="77777777" w:rsidR="00892F5B" w:rsidRPr="0058758A" w:rsidRDefault="00892F5B" w:rsidP="00892F5B">
      <w:pPr>
        <w:spacing w:before="0" w:after="0"/>
      </w:pPr>
      <w:r w:rsidRPr="0058758A">
        <w:t xml:space="preserve">P = </w:t>
      </w:r>
      <w:r w:rsidRPr="0058758A">
        <w:tab/>
      </w:r>
      <w:r w:rsidRPr="0058758A">
        <w:rPr>
          <w:u w:val="single"/>
        </w:rPr>
        <w:t>V x R</w:t>
      </w:r>
    </w:p>
    <w:p w14:paraId="093CE4D3" w14:textId="77777777" w:rsidR="00892F5B" w:rsidRPr="0058758A" w:rsidRDefault="00892F5B" w:rsidP="00892F5B">
      <w:pPr>
        <w:spacing w:before="0" w:after="0"/>
        <w:ind w:firstLine="720"/>
      </w:pPr>
      <w:r w:rsidRPr="0058758A">
        <w:t>200</w:t>
      </w:r>
    </w:p>
    <w:p w14:paraId="002337BE" w14:textId="77777777" w:rsidR="00892F5B" w:rsidRPr="0058758A" w:rsidRDefault="00892F5B" w:rsidP="00892F5B">
      <w:pPr>
        <w:spacing w:before="0" w:after="0"/>
      </w:pPr>
    </w:p>
    <w:p w14:paraId="621E1344" w14:textId="77777777" w:rsidR="00892F5B" w:rsidRPr="0058758A" w:rsidRDefault="00892F5B" w:rsidP="00892F5B">
      <w:pPr>
        <w:spacing w:before="0" w:after="0"/>
      </w:pPr>
      <w:r w:rsidRPr="0058758A">
        <w:t>Dans laquelle :</w:t>
      </w:r>
    </w:p>
    <w:p w14:paraId="36D60E18" w14:textId="77777777" w:rsidR="00892F5B" w:rsidRPr="0058758A" w:rsidRDefault="00892F5B" w:rsidP="00892F5B">
      <w:pPr>
        <w:spacing w:before="0" w:after="0"/>
      </w:pPr>
    </w:p>
    <w:p w14:paraId="4CE77048" w14:textId="77777777" w:rsidR="00892F5B" w:rsidRPr="0058758A" w:rsidRDefault="00892F5B" w:rsidP="00892F5B">
      <w:pPr>
        <w:numPr>
          <w:ilvl w:val="0"/>
          <w:numId w:val="6"/>
        </w:numPr>
        <w:spacing w:before="0" w:after="0"/>
      </w:pPr>
      <w:r w:rsidRPr="0058758A">
        <w:t>P est le montant des pénalités</w:t>
      </w:r>
    </w:p>
    <w:p w14:paraId="65CB5185" w14:textId="77777777" w:rsidR="00892F5B" w:rsidRPr="0058758A" w:rsidRDefault="00892F5B" w:rsidP="00892F5B">
      <w:pPr>
        <w:numPr>
          <w:ilvl w:val="0"/>
          <w:numId w:val="6"/>
        </w:numPr>
        <w:spacing w:before="0" w:after="0"/>
      </w:pPr>
      <w:r w:rsidRPr="0058758A">
        <w:t>V est la valeur qui correspond au prix initial d’achat de l’équipement. Cette valeur baisse de 25% la première année à l’issue de la période de garantie, puis de 5% par année supplémentaire.</w:t>
      </w:r>
    </w:p>
    <w:p w14:paraId="44035394" w14:textId="77777777" w:rsidR="00892F5B" w:rsidRPr="0058758A" w:rsidRDefault="00892F5B" w:rsidP="00892F5B">
      <w:pPr>
        <w:numPr>
          <w:ilvl w:val="0"/>
          <w:numId w:val="6"/>
        </w:numPr>
        <w:spacing w:before="0" w:after="0"/>
      </w:pPr>
      <w:r w:rsidRPr="0058758A">
        <w:t>R est le nombre de jours calendaires de retard sur le délai d’intervention contractuel.</w:t>
      </w:r>
    </w:p>
    <w:p w14:paraId="6F1BC0E3" w14:textId="77777777" w:rsidR="00892F5B" w:rsidRPr="0058758A" w:rsidRDefault="00892F5B" w:rsidP="00892F5B">
      <w:pPr>
        <w:spacing w:after="0"/>
      </w:pPr>
      <w:r w:rsidRPr="0058758A">
        <w:lastRenderedPageBreak/>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77777777" w:rsidR="00892F5B" w:rsidRPr="0058758A" w:rsidRDefault="00892F5B" w:rsidP="00892F5B">
      <w:pPr>
        <w:spacing w:after="0"/>
      </w:pPr>
      <w:r w:rsidRPr="0058758A">
        <w:t>INRAE peut exonérer le titulaire de ces pénalités si ce dernier invoque une cause de retard qui ne lui est pas imputable. Il notifie alors sa demande d’exonération à INRAE, en exposant les motifs de son retard.</w:t>
      </w:r>
    </w:p>
    <w:p w14:paraId="2288B747" w14:textId="031069D9" w:rsidR="003A62C4" w:rsidRPr="0058758A" w:rsidRDefault="003A62C4">
      <w:pPr>
        <w:pStyle w:val="Titre2"/>
        <w:rPr>
          <w:rFonts w:ascii="AvenirNext LT Pro Cn" w:hAnsi="AvenirNext LT Pro Cn"/>
          <w:sz w:val="22"/>
          <w:szCs w:val="22"/>
        </w:rPr>
      </w:pPr>
      <w:bookmarkStart w:id="121" w:name="_Toc190693456"/>
      <w:r w:rsidRPr="0058758A">
        <w:rPr>
          <w:rFonts w:ascii="AvenirNext LT Pro Cn" w:hAnsi="AvenirNext LT Pro Cn"/>
          <w:sz w:val="22"/>
          <w:szCs w:val="22"/>
        </w:rPr>
        <w:t>- Péna</w:t>
      </w:r>
      <w:r w:rsidR="00D3747F" w:rsidRPr="0058758A">
        <w:rPr>
          <w:rFonts w:ascii="AvenirNext LT Pro Cn" w:hAnsi="AvenirNext LT Pro Cn"/>
          <w:sz w:val="22"/>
          <w:szCs w:val="22"/>
        </w:rPr>
        <w:t xml:space="preserve">lités pour non-respect du délai de mise au point ou de réparation </w:t>
      </w:r>
      <w:r w:rsidRPr="0058758A">
        <w:rPr>
          <w:rFonts w:ascii="AvenirNext LT Pro Cn" w:hAnsi="AvenirNext LT Pro Cn"/>
          <w:sz w:val="22"/>
          <w:szCs w:val="22"/>
        </w:rPr>
        <w:t>en cas de panne</w:t>
      </w:r>
      <w:bookmarkEnd w:id="121"/>
    </w:p>
    <w:p w14:paraId="71EBDD95" w14:textId="7A0896A5" w:rsidR="003A62C4" w:rsidRPr="0058758A" w:rsidRDefault="003A62C4" w:rsidP="003A62C4">
      <w:pPr>
        <w:spacing w:after="0"/>
      </w:pPr>
      <w:r w:rsidRPr="0058758A">
        <w:t xml:space="preserve">En garantie comme en maintenance, en cas de dépassement du délai dont dispose le titulaire pour effectuer une mise au point ou une réparation comme défini </w:t>
      </w:r>
      <w:r w:rsidR="00D3747F" w:rsidRPr="0058758A">
        <w:t>dans le présent marché</w:t>
      </w:r>
      <w:r w:rsidRPr="0058758A">
        <w:t>, le titulaire peut, sur décision d’INRAE, se voir appliquer, sans mise en demeure préalable, une pénalité calculée par l’application de la formule suivante :</w:t>
      </w:r>
    </w:p>
    <w:p w14:paraId="00A07F37" w14:textId="77777777" w:rsidR="003A62C4" w:rsidRPr="0058758A" w:rsidRDefault="003A62C4" w:rsidP="003A62C4">
      <w:pPr>
        <w:spacing w:after="0"/>
      </w:pPr>
    </w:p>
    <w:p w14:paraId="283D0B9E" w14:textId="77777777" w:rsidR="003A62C4" w:rsidRPr="0058758A" w:rsidRDefault="003A62C4" w:rsidP="003A62C4">
      <w:pPr>
        <w:spacing w:before="0" w:after="0"/>
      </w:pPr>
      <w:r w:rsidRPr="0058758A">
        <w:t xml:space="preserve">P = </w:t>
      </w:r>
      <w:r w:rsidRPr="0058758A">
        <w:tab/>
      </w:r>
      <w:r w:rsidRPr="0058758A">
        <w:rPr>
          <w:u w:val="single"/>
        </w:rPr>
        <w:t>V x R</w:t>
      </w:r>
    </w:p>
    <w:p w14:paraId="48F36D70" w14:textId="77777777" w:rsidR="003A62C4" w:rsidRPr="0058758A" w:rsidRDefault="003A62C4" w:rsidP="003A62C4">
      <w:pPr>
        <w:spacing w:before="0" w:after="0"/>
        <w:ind w:firstLine="720"/>
      </w:pPr>
      <w:r w:rsidRPr="0058758A">
        <w:t>200</w:t>
      </w:r>
    </w:p>
    <w:p w14:paraId="3DBA3A24" w14:textId="77777777" w:rsidR="003A62C4" w:rsidRPr="0058758A" w:rsidRDefault="003A62C4" w:rsidP="003A62C4">
      <w:pPr>
        <w:spacing w:before="0" w:after="0"/>
      </w:pPr>
    </w:p>
    <w:p w14:paraId="2C554E25" w14:textId="77777777" w:rsidR="003A62C4" w:rsidRPr="0058758A" w:rsidRDefault="003A62C4" w:rsidP="003A62C4">
      <w:pPr>
        <w:spacing w:before="0" w:after="0"/>
      </w:pPr>
      <w:r w:rsidRPr="0058758A">
        <w:t>Dans laquelle :</w:t>
      </w:r>
    </w:p>
    <w:p w14:paraId="5FA3BDD4" w14:textId="77777777" w:rsidR="003A62C4" w:rsidRPr="0058758A" w:rsidRDefault="003A62C4" w:rsidP="003A62C4">
      <w:pPr>
        <w:spacing w:before="0" w:after="0"/>
      </w:pPr>
    </w:p>
    <w:p w14:paraId="27B6466F" w14:textId="77777777" w:rsidR="003A62C4" w:rsidRPr="0058758A" w:rsidRDefault="003A62C4" w:rsidP="003946F1">
      <w:pPr>
        <w:numPr>
          <w:ilvl w:val="0"/>
          <w:numId w:val="6"/>
        </w:numPr>
        <w:spacing w:before="0" w:after="0"/>
      </w:pPr>
      <w:r w:rsidRPr="0058758A">
        <w:t>P est le montant des pénalités</w:t>
      </w:r>
    </w:p>
    <w:p w14:paraId="16B8D0B1" w14:textId="77777777" w:rsidR="003A62C4" w:rsidRPr="0058758A" w:rsidRDefault="003A62C4" w:rsidP="003946F1">
      <w:pPr>
        <w:numPr>
          <w:ilvl w:val="0"/>
          <w:numId w:val="6"/>
        </w:numPr>
        <w:spacing w:before="0" w:after="0"/>
      </w:pPr>
      <w:r w:rsidRPr="0058758A">
        <w:t>V est la valeur qui correspond au prix initial d’achat de l’équipement. Cette valeur baisse de 25% la première année à l’issue de la période de garantie, puis de 5% par année supplémentaire.</w:t>
      </w:r>
    </w:p>
    <w:p w14:paraId="4B2ACAE6" w14:textId="77777777" w:rsidR="003A62C4" w:rsidRPr="0058758A" w:rsidRDefault="003A62C4" w:rsidP="003946F1">
      <w:pPr>
        <w:numPr>
          <w:ilvl w:val="0"/>
          <w:numId w:val="6"/>
        </w:numPr>
        <w:spacing w:before="0" w:after="0"/>
      </w:pPr>
      <w:r w:rsidRPr="0058758A">
        <w:t>R est le nombre de jours calendaires de retard sur le délai de réparation contractuel.</w:t>
      </w:r>
    </w:p>
    <w:p w14:paraId="43B6C706" w14:textId="6C626E0D" w:rsidR="003A62C4" w:rsidRPr="0058758A" w:rsidRDefault="003A62C4" w:rsidP="003A62C4">
      <w:r w:rsidRPr="0058758A">
        <w:t xml:space="preserve">Le point de départ du délai de mise au point ou de réparation en cas de panne commence à la date de première intervention sur site du Titulaire ou en cas d’absence d’intervention du Titulaire, à la date de la demande d’intervention </w:t>
      </w:r>
      <w:r w:rsidR="00CE4B60" w:rsidRPr="0058758A">
        <w:t>d’INRAE.</w:t>
      </w:r>
    </w:p>
    <w:p w14:paraId="55FE197B" w14:textId="7E39FE28" w:rsidR="003A62C4" w:rsidRPr="0058758A" w:rsidRDefault="00CE4B60" w:rsidP="003A62C4">
      <w:r w:rsidRPr="0058758A">
        <w:t>INRAE</w:t>
      </w:r>
      <w:r w:rsidR="003A62C4" w:rsidRPr="0058758A">
        <w:t xml:space="preserve"> peut exonérer le Titulaire de ces pénalités si ce dernier invoque une cause de retard qui ne lui est pas imputable. Il notifie alors sa demande d’exonération </w:t>
      </w:r>
      <w:r w:rsidRPr="0058758A">
        <w:t>à INRAE</w:t>
      </w:r>
      <w:r w:rsidR="003A62C4" w:rsidRPr="0058758A">
        <w:t xml:space="preserve"> et en exposant les motifs de son retard. </w:t>
      </w:r>
    </w:p>
    <w:p w14:paraId="10245788" w14:textId="77777777" w:rsidR="003A62C4" w:rsidRPr="0058758A" w:rsidRDefault="003A62C4" w:rsidP="003A62C4">
      <w:r w:rsidRPr="0058758A">
        <w:t xml:space="preserve">Ce délai peut être suspendu en cas de mise à disposition gratuite pendant la durée de réparation d’un matériel de remplacement répondant au même besoin que l’instrument initial. </w:t>
      </w:r>
    </w:p>
    <w:p w14:paraId="5D3EB9B2" w14:textId="77777777" w:rsidR="003A62C4" w:rsidRPr="0058758A" w:rsidRDefault="003A62C4" w:rsidP="003A62C4">
      <w:r w:rsidRPr="0058758A">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A66D1D5" w14:textId="77777777" w:rsidR="003A62C4" w:rsidRPr="0058758A" w:rsidRDefault="003A62C4" w:rsidP="003A62C4">
      <w:r w:rsidRPr="0058758A">
        <w:t>L’application de pénalités ne soustrait pas le Titulaire à ses obligations de remise en état de fonctionnement l’instrument tombé en panne.</w:t>
      </w:r>
    </w:p>
    <w:p w14:paraId="658CAEFE" w14:textId="77777777" w:rsidR="003A62C4" w:rsidRPr="0058758A" w:rsidRDefault="003A62C4" w:rsidP="003946F1">
      <w:pPr>
        <w:keepNext/>
        <w:keepLines/>
        <w:numPr>
          <w:ilvl w:val="1"/>
          <w:numId w:val="11"/>
        </w:numPr>
        <w:spacing w:before="360" w:after="240"/>
        <w:ind w:left="1134" w:hanging="567"/>
        <w:outlineLvl w:val="1"/>
        <w:rPr>
          <w:rFonts w:eastAsiaTheme="majorEastAsia" w:cstheme="majorBidi"/>
          <w:color w:val="00A3A6"/>
        </w:rPr>
      </w:pPr>
      <w:bookmarkStart w:id="122" w:name="_Toc190693457"/>
      <w:r w:rsidRPr="0058758A">
        <w:rPr>
          <w:rFonts w:eastAsiaTheme="majorEastAsia" w:cstheme="majorBidi"/>
          <w:color w:val="00A3A6"/>
        </w:rPr>
        <w:t>- Pénalités pour indisponibilité</w:t>
      </w:r>
      <w:bookmarkEnd w:id="122"/>
    </w:p>
    <w:p w14:paraId="61224593" w14:textId="77777777" w:rsidR="003A62C4" w:rsidRPr="0058758A" w:rsidRDefault="003A62C4" w:rsidP="003A62C4">
      <w:r w:rsidRPr="0058758A">
        <w:t xml:space="preserve">En maintenance, conformément à l’article Indicateurs de suivi et taux de disponibilité, à l'issue de la période annuelle, pourront être appliquées au titulaire des pénalités calculées selon des dispositions suivantes : si le taux de disponibilité obtenu est inférieur à 92,5%. </w:t>
      </w:r>
    </w:p>
    <w:p w14:paraId="7AD4098A" w14:textId="77777777" w:rsidR="003A62C4" w:rsidRPr="0058758A" w:rsidRDefault="003A62C4" w:rsidP="003A62C4">
      <w:r w:rsidRPr="0058758A">
        <w:t xml:space="preserve">Une pénalité de 1% du montant annuel de la prestation de maintenance prévue au marché pourra être appliquée, pour 1% de taux de disponibilité en deçà du taux limite inférieur demandé. </w:t>
      </w:r>
    </w:p>
    <w:p w14:paraId="337EFDFA" w14:textId="58EA2E1F" w:rsidR="003A62C4" w:rsidRPr="0058758A" w:rsidRDefault="003A62C4" w:rsidP="003A62C4">
      <w:r w:rsidRPr="0058758A">
        <w:t xml:space="preserve">Dans ce cas, le titulaire émettra, au début de la période suivante, un avoir du montant correspondant ou </w:t>
      </w:r>
      <w:r w:rsidR="00CE4B60" w:rsidRPr="0058758A">
        <w:t>INRAE</w:t>
      </w:r>
      <w:r w:rsidRPr="0058758A">
        <w:t xml:space="preserve"> émettra un ordre de reversement</w:t>
      </w:r>
    </w:p>
    <w:p w14:paraId="2C6A3FEC" w14:textId="6964E299" w:rsidR="00892F5B" w:rsidRPr="0058758A" w:rsidRDefault="00F73F18" w:rsidP="008C4788">
      <w:pPr>
        <w:pStyle w:val="Titre2"/>
        <w:rPr>
          <w:rFonts w:ascii="AvenirNext LT Pro Cn" w:hAnsi="AvenirNext LT Pro Cn"/>
          <w:sz w:val="22"/>
          <w:szCs w:val="22"/>
        </w:rPr>
      </w:pPr>
      <w:bookmarkStart w:id="123" w:name="_Toc190693458"/>
      <w:r w:rsidRPr="0058758A">
        <w:rPr>
          <w:rFonts w:ascii="AvenirNext LT Pro Cn" w:hAnsi="AvenirNext LT Pro Cn"/>
          <w:sz w:val="22"/>
          <w:szCs w:val="22"/>
        </w:rPr>
        <w:lastRenderedPageBreak/>
        <w:t xml:space="preserve">- </w:t>
      </w:r>
      <w:r w:rsidR="00892F5B" w:rsidRPr="0058758A">
        <w:rPr>
          <w:rFonts w:ascii="AvenirNext LT Pro Cn" w:hAnsi="AvenirNext LT Pro Cn"/>
          <w:sz w:val="22"/>
          <w:szCs w:val="22"/>
        </w:rPr>
        <w:t>Pénalités pour indisponibilité des pièces détachées</w:t>
      </w:r>
      <w:bookmarkEnd w:id="123"/>
    </w:p>
    <w:p w14:paraId="0322FF61" w14:textId="77777777" w:rsidR="00892F5B" w:rsidRPr="0058758A" w:rsidRDefault="00892F5B" w:rsidP="00892F5B">
      <w:r w:rsidRPr="0058758A">
        <w:t xml:space="preserve">Le titulaire s’engage à remplacer les pièces détachées usagées et à fournir les consommables captifs correspondants pendant une durée minimale de 8 ans à compter de la date d’admission de l’équipement acheté en application du présent marché. </w:t>
      </w:r>
    </w:p>
    <w:p w14:paraId="70ABDA04" w14:textId="77777777" w:rsidR="00892F5B" w:rsidRPr="0058758A" w:rsidRDefault="00892F5B" w:rsidP="00892F5B">
      <w:r w:rsidRPr="0058758A">
        <w:t>Dans le cas contraire, le titulaire peut, sur décision d’INRAE, se voir appliquer une pénalité égale à 10 % du prix dudit équipement par année de non-respect de cette obligation. Le calcul de cette pénalité s’effectue au prorata de la durée réelle pendant laquelle cette obligation n’est pas respectée.</w:t>
      </w:r>
    </w:p>
    <w:p w14:paraId="305CA97C" w14:textId="77777777" w:rsidR="00892F5B" w:rsidRPr="0058758A" w:rsidRDefault="00892F5B" w:rsidP="008C4788">
      <w:pPr>
        <w:pStyle w:val="Titre2"/>
        <w:rPr>
          <w:rFonts w:ascii="AvenirNext LT Pro Cn" w:hAnsi="AvenirNext LT Pro Cn"/>
          <w:sz w:val="22"/>
          <w:szCs w:val="22"/>
        </w:rPr>
      </w:pPr>
      <w:bookmarkStart w:id="124" w:name="_Toc190693459"/>
      <w:r w:rsidRPr="0058758A">
        <w:rPr>
          <w:rFonts w:ascii="AvenirNext LT Pro Cn" w:hAnsi="AvenirNext LT Pro Cn"/>
          <w:sz w:val="22"/>
          <w:szCs w:val="22"/>
        </w:rPr>
        <w:t>- Pénalités pour non-respect des dispositions environnementales</w:t>
      </w:r>
      <w:bookmarkEnd w:id="124"/>
    </w:p>
    <w:p w14:paraId="6DDED17C" w14:textId="77777777" w:rsidR="00892F5B" w:rsidRPr="0058758A" w:rsidRDefault="00892F5B" w:rsidP="00892F5B">
      <w:r w:rsidRPr="0058758A">
        <w:t>En cas de non-respect des dispositions environnementales que le titulaire s’est engagé à respecter au titre du présent marché dans son offre, le titulaire encourt une pénalité de 150</w:t>
      </w:r>
      <w:r w:rsidRPr="0058758A">
        <w:rPr>
          <w:b/>
        </w:rPr>
        <w:t xml:space="preserve"> </w:t>
      </w:r>
      <w:r w:rsidRPr="0058758A">
        <w:t>€ par non-respect constaté.</w:t>
      </w:r>
    </w:p>
    <w:p w14:paraId="4B1086F9" w14:textId="77777777" w:rsidR="003A62C4" w:rsidRPr="0058758A" w:rsidRDefault="003A62C4" w:rsidP="003A62C4"/>
    <w:p w14:paraId="5416E675" w14:textId="77777777" w:rsidR="003A62C4" w:rsidRPr="0058758A" w:rsidRDefault="003A62C4" w:rsidP="003946F1">
      <w:pPr>
        <w:keepNext/>
        <w:keepLines/>
        <w:numPr>
          <w:ilvl w:val="1"/>
          <w:numId w:val="11"/>
        </w:numPr>
        <w:spacing w:before="360" w:after="240"/>
        <w:ind w:left="1134" w:hanging="567"/>
        <w:outlineLvl w:val="1"/>
        <w:rPr>
          <w:rFonts w:eastAsiaTheme="majorEastAsia" w:cstheme="majorBidi"/>
          <w:color w:val="00A3A6"/>
        </w:rPr>
      </w:pPr>
      <w:bookmarkStart w:id="125" w:name="_Toc190693460"/>
      <w:r w:rsidRPr="0058758A">
        <w:rPr>
          <w:rFonts w:eastAsiaTheme="majorEastAsia" w:cstheme="majorBidi"/>
          <w:color w:val="00A3A6"/>
        </w:rPr>
        <w:t>- Pénalités pour non-respect des formalités relatives à la lutte contre le travail illégal</w:t>
      </w:r>
      <w:bookmarkEnd w:id="125"/>
    </w:p>
    <w:p w14:paraId="0D93F4D8" w14:textId="77777777" w:rsidR="003A62C4" w:rsidRPr="0058758A" w:rsidRDefault="003A62C4" w:rsidP="003A62C4">
      <w:r w:rsidRPr="0058758A">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6161E517" w14:textId="72F3B960" w:rsidR="003A62C4" w:rsidRPr="0058758A" w:rsidRDefault="003A62C4">
      <w:pPr>
        <w:spacing w:before="0" w:after="0"/>
        <w:jc w:val="left"/>
      </w:pPr>
    </w:p>
    <w:p w14:paraId="7BDE7FC0" w14:textId="60F3F106" w:rsidR="00303880" w:rsidRPr="0058758A" w:rsidRDefault="000222BE" w:rsidP="00890070">
      <w:pPr>
        <w:pStyle w:val="Titre1"/>
        <w:spacing w:before="360" w:after="240"/>
        <w:ind w:left="357" w:hanging="357"/>
        <w:rPr>
          <w:rFonts w:ascii="AvenirNext LT Pro Cn" w:hAnsi="AvenirNext LT Pro Cn"/>
          <w:sz w:val="22"/>
          <w:szCs w:val="22"/>
        </w:rPr>
      </w:pPr>
      <w:bookmarkStart w:id="126" w:name="_Toc190693461"/>
      <w:r w:rsidRPr="0058758A">
        <w:rPr>
          <w:rFonts w:ascii="AvenirNext LT Pro Cn" w:hAnsi="AvenirNext LT Pro Cn"/>
          <w:sz w:val="22"/>
          <w:szCs w:val="22"/>
        </w:rPr>
        <w:t>CLAUSES ENVIRONNEMENTALE</w:t>
      </w:r>
      <w:r w:rsidR="00890070" w:rsidRPr="0058758A">
        <w:rPr>
          <w:rFonts w:ascii="AvenirNext LT Pro Cn" w:hAnsi="AvenirNext LT Pro Cn"/>
          <w:sz w:val="22"/>
          <w:szCs w:val="22"/>
        </w:rPr>
        <w:t>S</w:t>
      </w:r>
      <w:bookmarkEnd w:id="126"/>
      <w:r w:rsidRPr="0058758A">
        <w:rPr>
          <w:rFonts w:ascii="AvenirNext LT Pro Cn" w:hAnsi="AvenirNext LT Pro Cn"/>
          <w:sz w:val="22"/>
          <w:szCs w:val="22"/>
        </w:rPr>
        <w:t xml:space="preserve"> </w:t>
      </w:r>
    </w:p>
    <w:p w14:paraId="6F19259D" w14:textId="77777777" w:rsidR="00A26305" w:rsidRPr="0058758A" w:rsidRDefault="00A26305" w:rsidP="00A26305">
      <w:r w:rsidRPr="0058758A">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Pr="0058758A" w:rsidRDefault="00A26305" w:rsidP="00A26305">
      <w:r w:rsidRPr="0058758A">
        <w:t>Il doit être en mesure d’en justifier, en cours d’exécution de l’accord-cadre, sur simple demande d’INRAE.</w:t>
      </w:r>
    </w:p>
    <w:p w14:paraId="4918120C" w14:textId="77777777" w:rsidR="00A26305" w:rsidRPr="0058758A" w:rsidRDefault="00A26305" w:rsidP="00A26305">
      <w:r w:rsidRPr="0058758A">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Pr="0058758A" w:rsidRDefault="00A26305" w:rsidP="00A26305">
      <w:r w:rsidRPr="0058758A">
        <w:t>Conformément à l’article L.2112-2 du code de la commande publique, le titulaire s’engage à respecter les conditions d’exécution en vue de la protection de l’environnement.</w:t>
      </w:r>
    </w:p>
    <w:p w14:paraId="30F92032" w14:textId="77777777" w:rsidR="00A26305" w:rsidRPr="0058758A" w:rsidRDefault="00A26305" w:rsidP="00A26305">
      <w:r w:rsidRPr="0058758A">
        <w:t>Le titulaire fait ses meilleurs efforts pour réduire l’impact écologique des prestations fournies au titre du présent marché, notamment :</w:t>
      </w:r>
    </w:p>
    <w:p w14:paraId="6054E7E4" w14:textId="77777777" w:rsidR="00A26305" w:rsidRPr="0058758A" w:rsidRDefault="00A26305" w:rsidP="00A26305">
      <w:pPr>
        <w:pStyle w:val="Paragraphedeliste"/>
        <w:numPr>
          <w:ilvl w:val="0"/>
          <w:numId w:val="4"/>
        </w:numPr>
        <w:spacing w:before="40" w:after="40"/>
      </w:pPr>
      <w:r w:rsidRPr="0058758A">
        <w:t>En traitant les déchets liés à la fabrication, au conditionnement et au transport des matériels pour en réduire les impacts écologiques négatifs ;</w:t>
      </w:r>
    </w:p>
    <w:p w14:paraId="34510BD7" w14:textId="77777777" w:rsidR="00A26305" w:rsidRPr="0058758A" w:rsidRDefault="00A26305" w:rsidP="00A26305">
      <w:pPr>
        <w:pStyle w:val="Paragraphedeliste"/>
        <w:numPr>
          <w:ilvl w:val="0"/>
          <w:numId w:val="4"/>
        </w:numPr>
        <w:spacing w:before="40" w:after="40"/>
      </w:pPr>
      <w:r w:rsidRPr="0058758A">
        <w:t>En proposant des matériels économes en énergie et/ou en fluides ;</w:t>
      </w:r>
    </w:p>
    <w:p w14:paraId="2440142B" w14:textId="77777777" w:rsidR="00A26305" w:rsidRPr="0058758A" w:rsidRDefault="00A26305" w:rsidP="00A26305">
      <w:pPr>
        <w:pStyle w:val="Paragraphedeliste"/>
        <w:numPr>
          <w:ilvl w:val="0"/>
          <w:numId w:val="4"/>
        </w:numPr>
        <w:spacing w:before="40" w:after="40"/>
      </w:pPr>
      <w:r w:rsidRPr="0058758A">
        <w:t>En proposant des matériels constitués de matériaux recyclables ;</w:t>
      </w:r>
    </w:p>
    <w:p w14:paraId="49528006" w14:textId="77777777" w:rsidR="00A26305" w:rsidRPr="0058758A" w:rsidRDefault="00A26305" w:rsidP="00A26305">
      <w:pPr>
        <w:pStyle w:val="Paragraphedeliste"/>
        <w:numPr>
          <w:ilvl w:val="0"/>
          <w:numId w:val="4"/>
        </w:numPr>
        <w:spacing w:before="40" w:after="40"/>
      </w:pPr>
      <w:r w:rsidRPr="0058758A">
        <w:t>En proposant des moyens de transports respectueux de l’environnement.</w:t>
      </w:r>
    </w:p>
    <w:p w14:paraId="31F0420F" w14:textId="77777777" w:rsidR="006A5B59" w:rsidRPr="0058758A" w:rsidRDefault="006A5B59">
      <w:pPr>
        <w:widowControl w:val="0"/>
        <w:autoSpaceDE w:val="0"/>
        <w:autoSpaceDN w:val="0"/>
        <w:adjustRightInd w:val="0"/>
        <w:spacing w:line="200" w:lineRule="exact"/>
        <w:rPr>
          <w:rFonts w:cs="Arial"/>
          <w:iCs/>
          <w:color w:val="C00000"/>
        </w:rPr>
      </w:pPr>
    </w:p>
    <w:p w14:paraId="692302CD" w14:textId="77777777" w:rsidR="00B3398C" w:rsidRPr="0058758A" w:rsidRDefault="00B3398C" w:rsidP="004B5016">
      <w:pPr>
        <w:pStyle w:val="Titre1"/>
        <w:widowControl w:val="0"/>
        <w:autoSpaceDE w:val="0"/>
        <w:autoSpaceDN w:val="0"/>
        <w:adjustRightInd w:val="0"/>
        <w:spacing w:line="200" w:lineRule="exact"/>
        <w:rPr>
          <w:rFonts w:ascii="AvenirNext LT Pro Cn" w:hAnsi="AvenirNext LT Pro Cn"/>
          <w:sz w:val="22"/>
          <w:szCs w:val="22"/>
        </w:rPr>
      </w:pPr>
      <w:bookmarkStart w:id="127" w:name="_Toc190693462"/>
      <w:r w:rsidRPr="0058758A">
        <w:rPr>
          <w:rFonts w:ascii="AvenirNext LT Pro Cn" w:hAnsi="AvenirNext LT Pro Cn"/>
          <w:sz w:val="22"/>
          <w:szCs w:val="22"/>
        </w:rPr>
        <w:lastRenderedPageBreak/>
        <w:t>GARANTIE</w:t>
      </w:r>
      <w:r w:rsidR="00E1299C" w:rsidRPr="0058758A">
        <w:rPr>
          <w:rFonts w:ascii="AvenirNext LT Pro Cn" w:hAnsi="AvenirNext LT Pro Cn"/>
          <w:sz w:val="22"/>
          <w:szCs w:val="22"/>
        </w:rPr>
        <w:t xml:space="preserve"> ET SAV</w:t>
      </w:r>
      <w:bookmarkEnd w:id="127"/>
      <w:r w:rsidR="005144E6" w:rsidRPr="0058758A">
        <w:rPr>
          <w:rFonts w:ascii="AvenirNext LT Pro Cn" w:hAnsi="AvenirNext LT Pro Cn"/>
          <w:sz w:val="22"/>
          <w:szCs w:val="22"/>
        </w:rPr>
        <w:t xml:space="preserve"> </w:t>
      </w:r>
    </w:p>
    <w:p w14:paraId="7F2F6C01" w14:textId="5CDB28D7" w:rsidR="00E1299C" w:rsidRPr="0058758A" w:rsidRDefault="00E1299C" w:rsidP="009D5209">
      <w:pPr>
        <w:pStyle w:val="Titre2"/>
        <w:rPr>
          <w:rFonts w:ascii="AvenirNext LT Pro Cn" w:hAnsi="AvenirNext LT Pro Cn"/>
          <w:sz w:val="22"/>
          <w:szCs w:val="22"/>
        </w:rPr>
      </w:pPr>
      <w:bookmarkStart w:id="128" w:name="_Toc190693463"/>
      <w:r w:rsidRPr="0058758A">
        <w:rPr>
          <w:rFonts w:ascii="AvenirNext LT Pro Cn" w:hAnsi="AvenirNext LT Pro Cn"/>
          <w:sz w:val="22"/>
          <w:szCs w:val="22"/>
        </w:rPr>
        <w:t>– Garantie</w:t>
      </w:r>
      <w:bookmarkEnd w:id="128"/>
    </w:p>
    <w:p w14:paraId="5EBAA256" w14:textId="798A4C19" w:rsidR="00D14015" w:rsidRPr="0058758A" w:rsidRDefault="00D14015" w:rsidP="00D14015">
      <w:r w:rsidRPr="0058758A">
        <w:t>Les réclamations relatives à des pièces défectueuses ou à un dysfonctionnement de tout ou partie du matériel livré émanent d’INRAE.</w:t>
      </w:r>
    </w:p>
    <w:p w14:paraId="326D41A5" w14:textId="7A739DDF" w:rsidR="00D14015" w:rsidRPr="0058758A" w:rsidRDefault="00D14015" w:rsidP="00B07A17">
      <w:pPr>
        <w:spacing w:before="240"/>
      </w:pPr>
      <w:r w:rsidRPr="0058758A">
        <w:t>Les fournitures bénéficient de la garantie prévue à l’article 1641 du Code civil, et de la garantie des produits défectueux prévue aux articles 1245 à 1245-17 du Code civil, ainsi que de la garantie contractuelle prévue par le présent marché.</w:t>
      </w:r>
    </w:p>
    <w:p w14:paraId="07EB09F5" w14:textId="77777777" w:rsidR="00D14015" w:rsidRPr="0058758A" w:rsidRDefault="00D14015" w:rsidP="00D14015">
      <w:pPr>
        <w:spacing w:after="0"/>
      </w:pPr>
      <w:r w:rsidRPr="0058758A">
        <w:t>La garantie contractée pendant la période d’exécution de l’accord-cadre engage le titulaire pour sa durée.</w:t>
      </w:r>
    </w:p>
    <w:p w14:paraId="5EE9B40C" w14:textId="77777777" w:rsidR="00D14015" w:rsidRPr="0058758A" w:rsidRDefault="00D14015" w:rsidP="00D14015">
      <w:pPr>
        <w:spacing w:after="0"/>
        <w:rPr>
          <w:b/>
          <w:bCs/>
        </w:rPr>
      </w:pPr>
      <w:r w:rsidRPr="0058758A">
        <w:t>La garantie couvre le coût des pièces défectueuses (composants optiques, mécaniques, électroniques et informatiques inclus) sans limite de montant, de main d’œuvre et les frais de déplacement sur site.</w:t>
      </w:r>
    </w:p>
    <w:p w14:paraId="6C95EC45" w14:textId="77777777" w:rsidR="005722EF" w:rsidRPr="0058758A" w:rsidRDefault="00B07A17" w:rsidP="00B07A17">
      <w:pPr>
        <w:spacing w:before="240"/>
        <w:rPr>
          <w:b/>
          <w:bCs/>
        </w:rPr>
      </w:pPr>
      <w:r w:rsidRPr="0058758A">
        <w:t xml:space="preserve">En application de l’article </w:t>
      </w:r>
      <w:r w:rsidR="00E1299C" w:rsidRPr="0058758A">
        <w:t>33</w:t>
      </w:r>
      <w:r w:rsidRPr="0058758A">
        <w:t xml:space="preserve"> du CCAG-FCS., l’équipement fait l’objet </w:t>
      </w:r>
      <w:r w:rsidRPr="0058758A">
        <w:rPr>
          <w:b/>
          <w:bCs/>
        </w:rPr>
        <w:t>d’une garantie</w:t>
      </w:r>
      <w:r w:rsidRPr="0058758A">
        <w:t xml:space="preserve"> </w:t>
      </w:r>
      <w:r w:rsidRPr="0058758A">
        <w:rPr>
          <w:b/>
          <w:bCs/>
        </w:rPr>
        <w:t>commerciale d’un (1) an</w:t>
      </w:r>
      <w:r w:rsidR="005722EF" w:rsidRPr="0058758A">
        <w:rPr>
          <w:b/>
          <w:bCs/>
        </w:rPr>
        <w:t>.</w:t>
      </w:r>
    </w:p>
    <w:p w14:paraId="74CCB497" w14:textId="35BCA867" w:rsidR="00E1299C" w:rsidRPr="0058758A" w:rsidRDefault="00727CA5" w:rsidP="009D5209">
      <w:pPr>
        <w:pStyle w:val="Titre2"/>
        <w:rPr>
          <w:rFonts w:ascii="AvenirNext LT Pro Cn" w:hAnsi="AvenirNext LT Pro Cn"/>
          <w:sz w:val="22"/>
          <w:szCs w:val="22"/>
        </w:rPr>
      </w:pPr>
      <w:bookmarkStart w:id="129" w:name="_Toc190693464"/>
      <w:r w:rsidRPr="0058758A">
        <w:rPr>
          <w:rFonts w:ascii="AvenirNext LT Pro Cn" w:hAnsi="AvenirNext LT Pro Cn"/>
          <w:sz w:val="22"/>
          <w:szCs w:val="22"/>
        </w:rPr>
        <w:t>Support technique</w:t>
      </w:r>
      <w:bookmarkEnd w:id="129"/>
    </w:p>
    <w:p w14:paraId="62F58A35" w14:textId="494B3527" w:rsidR="00727CA5" w:rsidRPr="0058758A" w:rsidRDefault="00727CA5" w:rsidP="00727CA5">
      <w:pPr>
        <w:rPr>
          <w:bCs/>
        </w:rPr>
      </w:pPr>
      <w:r w:rsidRPr="0058758A">
        <w:rPr>
          <w:bCs/>
        </w:rPr>
        <w:t xml:space="preserve">La garantie inclus(en)t inclut un support technique (y compris sur les logiciels) gratuit et illimité pendant les jours ouvrés durant toute la période de garantie des équipements. </w:t>
      </w:r>
    </w:p>
    <w:p w14:paraId="00C40513" w14:textId="77777777" w:rsidR="00727CA5" w:rsidRPr="0058758A" w:rsidRDefault="00727CA5" w:rsidP="00727CA5">
      <w:pPr>
        <w:rPr>
          <w:bCs/>
        </w:rPr>
      </w:pPr>
      <w:r w:rsidRPr="0058758A">
        <w:rPr>
          <w:bCs/>
        </w:rPr>
        <w:t xml:space="preserve">Le support téléphonique est accessible par téléphone (appel non surtaxé) et par courriel. </w:t>
      </w:r>
    </w:p>
    <w:p w14:paraId="7B035A01" w14:textId="77777777" w:rsidR="00727CA5" w:rsidRPr="0058758A" w:rsidRDefault="00727CA5" w:rsidP="00727CA5">
      <w:pPr>
        <w:rPr>
          <w:bCs/>
        </w:rPr>
      </w:pPr>
      <w:r w:rsidRPr="0058758A">
        <w:rPr>
          <w:bCs/>
        </w:rPr>
        <w:t>Le titulaire s’engage sur un délai de réponse inférieur à :</w:t>
      </w:r>
    </w:p>
    <w:p w14:paraId="4AA0C9BB" w14:textId="77777777" w:rsidR="00727CA5" w:rsidRPr="0058758A" w:rsidRDefault="00727CA5" w:rsidP="003946F1">
      <w:pPr>
        <w:pStyle w:val="Paragraphedeliste"/>
        <w:numPr>
          <w:ilvl w:val="0"/>
          <w:numId w:val="15"/>
        </w:numPr>
        <w:spacing w:before="0" w:after="0"/>
        <w:ind w:left="714" w:hanging="357"/>
        <w:rPr>
          <w:bCs/>
        </w:rPr>
      </w:pPr>
      <w:r w:rsidRPr="0058758A">
        <w:rPr>
          <w:bCs/>
        </w:rPr>
        <w:t>24H ouvrées en cas de panne</w:t>
      </w:r>
    </w:p>
    <w:p w14:paraId="1567E992" w14:textId="64516765" w:rsidR="00727CA5" w:rsidRPr="0058758A" w:rsidRDefault="00727CA5" w:rsidP="003946F1">
      <w:pPr>
        <w:pStyle w:val="Paragraphedeliste"/>
        <w:numPr>
          <w:ilvl w:val="0"/>
          <w:numId w:val="15"/>
        </w:numPr>
        <w:spacing w:before="60" w:after="0"/>
        <w:ind w:left="714" w:hanging="357"/>
        <w:rPr>
          <w:bCs/>
        </w:rPr>
      </w:pPr>
      <w:r w:rsidRPr="0058758A">
        <w:rPr>
          <w:bCs/>
        </w:rPr>
        <w:t>72h ouvrées hors cas de panne.</w:t>
      </w:r>
    </w:p>
    <w:p w14:paraId="21F8826F" w14:textId="59C1F038" w:rsidR="00727CA5" w:rsidRPr="0058758A" w:rsidRDefault="00727CA5" w:rsidP="00727CA5">
      <w:pPr>
        <w:spacing w:before="60" w:after="0"/>
        <w:rPr>
          <w:bCs/>
        </w:rPr>
      </w:pPr>
      <w:r w:rsidRPr="0058758A">
        <w:rPr>
          <w:bCs/>
        </w:rPr>
        <w:t>Les autres engagements du titulaire concernant le support technique figurent dans son offre.</w:t>
      </w:r>
    </w:p>
    <w:p w14:paraId="4216880B" w14:textId="77777777" w:rsidR="00CC5CE8" w:rsidRPr="0058758A" w:rsidRDefault="003E1C48" w:rsidP="003E1C48">
      <w:pPr>
        <w:keepNext/>
        <w:spacing w:before="240" w:after="240"/>
        <w:ind w:firstLine="1559"/>
        <w:outlineLvl w:val="1"/>
        <w:rPr>
          <w:rFonts w:cs="Arial"/>
          <w:i/>
          <w:iCs/>
          <w:color w:val="00A6A3"/>
        </w:rPr>
      </w:pPr>
      <w:bookmarkStart w:id="130" w:name="_Toc190693465"/>
      <w:r w:rsidRPr="0058758A">
        <w:rPr>
          <w:rFonts w:cs="Arial"/>
          <w:i/>
          <w:iCs/>
          <w:color w:val="00A6A3"/>
        </w:rPr>
        <w:t xml:space="preserve">11.2.1 - </w:t>
      </w:r>
      <w:r w:rsidR="00CC5CE8" w:rsidRPr="0058758A">
        <w:rPr>
          <w:rFonts w:cs="Arial"/>
          <w:i/>
          <w:iCs/>
          <w:color w:val="00A6A3"/>
        </w:rPr>
        <w:t>Logiciels de pilotage et de traitement des données</w:t>
      </w:r>
      <w:bookmarkEnd w:id="130"/>
    </w:p>
    <w:p w14:paraId="756DDB52" w14:textId="2360117E" w:rsidR="00E1299C" w:rsidRPr="0058758A" w:rsidRDefault="00727CA5" w:rsidP="00E1299C">
      <w:r w:rsidRPr="0058758A">
        <w:t xml:space="preserve">La garantie </w:t>
      </w:r>
      <w:proofErr w:type="gramStart"/>
      <w:r w:rsidRPr="0058758A">
        <w:t>inclu</w:t>
      </w:r>
      <w:r w:rsidR="00400731" w:rsidRPr="0058758A">
        <w:t xml:space="preserve">e </w:t>
      </w:r>
      <w:r w:rsidR="00E1299C" w:rsidRPr="0058758A">
        <w:t xml:space="preserve"> au</w:t>
      </w:r>
      <w:proofErr w:type="gramEnd"/>
      <w:r w:rsidR="00E1299C" w:rsidRPr="0058758A">
        <w:t xml:space="preserve"> minimum : </w:t>
      </w:r>
    </w:p>
    <w:p w14:paraId="1283C404" w14:textId="77777777" w:rsidR="00E1299C" w:rsidRPr="0058758A" w:rsidRDefault="00E1299C" w:rsidP="003946F1">
      <w:pPr>
        <w:pStyle w:val="Paragraphedeliste"/>
        <w:numPr>
          <w:ilvl w:val="0"/>
          <w:numId w:val="8"/>
        </w:numPr>
      </w:pPr>
      <w:proofErr w:type="gramStart"/>
      <w:r w:rsidRPr="0058758A">
        <w:t>les</w:t>
      </w:r>
      <w:proofErr w:type="gramEnd"/>
      <w:r w:rsidRPr="0058758A">
        <w:t xml:space="preserve"> mises à jour et changements de version des logiciels de pilotage, </w:t>
      </w:r>
    </w:p>
    <w:p w14:paraId="64037E3B" w14:textId="5E45B614" w:rsidR="00E1299C" w:rsidRPr="0058758A" w:rsidRDefault="00E1299C" w:rsidP="003946F1">
      <w:pPr>
        <w:pStyle w:val="Paragraphedeliste"/>
        <w:numPr>
          <w:ilvl w:val="0"/>
          <w:numId w:val="8"/>
        </w:numPr>
        <w:rPr>
          <w:color w:val="FF0000"/>
        </w:rPr>
      </w:pPr>
      <w:proofErr w:type="gramStart"/>
      <w:r w:rsidRPr="0058758A">
        <w:t>les</w:t>
      </w:r>
      <w:proofErr w:type="gramEnd"/>
      <w:r w:rsidRPr="0058758A">
        <w:t xml:space="preserve"> mises à jour des logiciels de traitement des données</w:t>
      </w:r>
      <w:r w:rsidR="00727CA5" w:rsidRPr="0058758A">
        <w:t xml:space="preserve"> gratuites pendant une durée </w:t>
      </w:r>
      <w:r w:rsidR="00F50F0E" w:rsidRPr="0058758A">
        <w:t>12 mois</w:t>
      </w:r>
      <w:r w:rsidR="00400731" w:rsidRPr="0058758A">
        <w:t>.</w:t>
      </w:r>
    </w:p>
    <w:p w14:paraId="750E80C9" w14:textId="77777777" w:rsidR="00E1299C" w:rsidRPr="0058758A" w:rsidRDefault="00E1299C" w:rsidP="009E36D1">
      <w:r w:rsidRPr="0058758A">
        <w:t xml:space="preserve">La mise à jour s’entend comme une évolution dans une même version du logiciel (passage d’une version </w:t>
      </w:r>
      <w:r w:rsidR="00FA5961" w:rsidRPr="0058758A">
        <w:t>3</w:t>
      </w:r>
      <w:r w:rsidRPr="0058758A">
        <w:t xml:space="preserve">.0 à </w:t>
      </w:r>
      <w:r w:rsidR="00FA5961" w:rsidRPr="0058758A">
        <w:t>3</w:t>
      </w:r>
      <w:r w:rsidRPr="0058758A">
        <w:t>.1 par exemple).</w:t>
      </w:r>
    </w:p>
    <w:p w14:paraId="486F99AD" w14:textId="77777777" w:rsidR="00E1299C" w:rsidRPr="0058758A" w:rsidRDefault="00E1299C" w:rsidP="00E1299C">
      <w:r w:rsidRPr="0058758A">
        <w:t xml:space="preserve">Le changement de version s’entend comme le passage d’une version </w:t>
      </w:r>
      <w:r w:rsidR="00FA5961" w:rsidRPr="0058758A">
        <w:t>3</w:t>
      </w:r>
      <w:r w:rsidRPr="0058758A">
        <w:t xml:space="preserve">.1 à </w:t>
      </w:r>
      <w:r w:rsidR="00FA5961" w:rsidRPr="0058758A">
        <w:t>4</w:t>
      </w:r>
      <w:r w:rsidRPr="0058758A">
        <w:t>.0 par exemple.</w:t>
      </w:r>
    </w:p>
    <w:p w14:paraId="7C676905" w14:textId="574E7100" w:rsidR="00E1299C" w:rsidRPr="0058758A" w:rsidRDefault="00E1299C" w:rsidP="00E1299C">
      <w:r w:rsidRPr="0058758A">
        <w:t xml:space="preserve">La compatibilité entre les logiciels de pilotage et de traitement des données doit être assurée. </w:t>
      </w:r>
    </w:p>
    <w:p w14:paraId="7751EF27" w14:textId="6336CBDD" w:rsidR="00216003" w:rsidRPr="0058758A" w:rsidRDefault="00216003" w:rsidP="00E1299C">
      <w:r w:rsidRPr="0058758A">
        <w:t>Le titulaire doit permettre l’enregistrement des données récoltées sous un format d’échange de données.</w:t>
      </w:r>
    </w:p>
    <w:p w14:paraId="4837BB78" w14:textId="57D76038" w:rsidR="00216003" w:rsidRPr="0058758A" w:rsidRDefault="00216003" w:rsidP="00E1299C">
      <w:r w:rsidRPr="0058758A">
        <w:t>Les autres engagements du titulaire concernant les logiciels figurent dans son offre.</w:t>
      </w:r>
    </w:p>
    <w:p w14:paraId="7C931D35" w14:textId="77777777" w:rsidR="00FE23EE" w:rsidRPr="0058758A" w:rsidRDefault="00FE23EE" w:rsidP="00E1299C"/>
    <w:p w14:paraId="306FB911" w14:textId="6E097928" w:rsidR="00E1299C" w:rsidRPr="0058758A" w:rsidRDefault="003E1C48" w:rsidP="003E1C48">
      <w:pPr>
        <w:keepNext/>
        <w:spacing w:before="240" w:after="240"/>
        <w:ind w:firstLine="1559"/>
        <w:outlineLvl w:val="1"/>
        <w:rPr>
          <w:rFonts w:cs="Arial"/>
          <w:i/>
          <w:iCs/>
          <w:color w:val="00A6A3"/>
        </w:rPr>
      </w:pPr>
      <w:bookmarkStart w:id="131" w:name="_Toc190693466"/>
      <w:r w:rsidRPr="0058758A">
        <w:rPr>
          <w:rFonts w:cs="Arial"/>
          <w:i/>
          <w:iCs/>
          <w:color w:val="00A6A3"/>
        </w:rPr>
        <w:t>11.2.</w:t>
      </w:r>
      <w:r w:rsidR="00216003" w:rsidRPr="0058758A">
        <w:rPr>
          <w:rFonts w:cs="Arial"/>
          <w:i/>
          <w:iCs/>
          <w:color w:val="00A6A3"/>
        </w:rPr>
        <w:t>2</w:t>
      </w:r>
      <w:r w:rsidRPr="0058758A">
        <w:rPr>
          <w:rFonts w:cs="Arial"/>
          <w:i/>
          <w:iCs/>
          <w:color w:val="00A6A3"/>
        </w:rPr>
        <w:t xml:space="preserve"> - </w:t>
      </w:r>
      <w:r w:rsidR="00E1299C" w:rsidRPr="0058758A">
        <w:rPr>
          <w:rFonts w:cs="Arial"/>
          <w:i/>
          <w:iCs/>
          <w:color w:val="00A6A3"/>
        </w:rPr>
        <w:t>Délais d’intervention en cas de panne</w:t>
      </w:r>
      <w:bookmarkEnd w:id="131"/>
    </w:p>
    <w:p w14:paraId="491B9C4A" w14:textId="210B37FC" w:rsidR="00E1299C" w:rsidRPr="0058758A" w:rsidRDefault="00E1299C" w:rsidP="00E1299C">
      <w:pPr>
        <w:rPr>
          <w:bCs/>
        </w:rPr>
      </w:pPr>
      <w:r w:rsidRPr="0058758A">
        <w:rPr>
          <w:bCs/>
        </w:rPr>
        <w:t xml:space="preserve">Pendant toute la période de garantie, le titulaire a une obligation de résultat concernant le respect des délais d’intervention sur site en cas de panne </w:t>
      </w:r>
      <w:r w:rsidR="00C83BB5" w:rsidRPr="0058758A">
        <w:rPr>
          <w:bCs/>
        </w:rPr>
        <w:t xml:space="preserve">du ou </w:t>
      </w:r>
      <w:r w:rsidRPr="0058758A">
        <w:rPr>
          <w:bCs/>
        </w:rPr>
        <w:t xml:space="preserve">des </w:t>
      </w:r>
      <w:r w:rsidR="00C83BB5" w:rsidRPr="0058758A">
        <w:rPr>
          <w:bCs/>
        </w:rPr>
        <w:t>équipement</w:t>
      </w:r>
      <w:r w:rsidRPr="0058758A">
        <w:rPr>
          <w:bCs/>
        </w:rPr>
        <w:t xml:space="preserve">s achetés en application du présent </w:t>
      </w:r>
      <w:r w:rsidR="00CC5CE8" w:rsidRPr="0058758A">
        <w:rPr>
          <w:bCs/>
        </w:rPr>
        <w:t>marché</w:t>
      </w:r>
      <w:r w:rsidRPr="0058758A">
        <w:rPr>
          <w:bCs/>
        </w:rPr>
        <w:t>.</w:t>
      </w:r>
    </w:p>
    <w:p w14:paraId="25E11C7C" w14:textId="78DF38C6" w:rsidR="00FE23EE" w:rsidRPr="0058758A" w:rsidRDefault="00FE23EE" w:rsidP="00E1299C">
      <w:pPr>
        <w:rPr>
          <w:bCs/>
        </w:rPr>
      </w:pPr>
      <w:r w:rsidRPr="0058758A">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58758A" w:rsidRDefault="00E1299C" w:rsidP="00FE23EE">
      <w:pPr>
        <w:rPr>
          <w:bCs/>
        </w:rPr>
      </w:pPr>
      <w:r w:rsidRPr="0058758A">
        <w:rPr>
          <w:bCs/>
        </w:rPr>
        <w:lastRenderedPageBreak/>
        <w:t xml:space="preserve">La demande d’intervention par le représentant </w:t>
      </w:r>
      <w:r w:rsidR="00CC5CE8" w:rsidRPr="0058758A">
        <w:rPr>
          <w:bCs/>
        </w:rPr>
        <w:t>d’INRAE</w:t>
      </w:r>
      <w:r w:rsidRPr="0058758A">
        <w:rPr>
          <w:bCs/>
        </w:rPr>
        <w:t xml:space="preserve"> peut être effectuée par téléphone, confirmée par voie électronique.</w:t>
      </w:r>
    </w:p>
    <w:p w14:paraId="012FB621" w14:textId="77777777" w:rsidR="00E1299C" w:rsidRPr="0058758A" w:rsidRDefault="00E1299C" w:rsidP="003946F1">
      <w:pPr>
        <w:pStyle w:val="Paragraphedeliste"/>
        <w:numPr>
          <w:ilvl w:val="0"/>
          <w:numId w:val="9"/>
        </w:numPr>
        <w:rPr>
          <w:bCs/>
        </w:rPr>
      </w:pPr>
      <w:r w:rsidRPr="0058758A">
        <w:rPr>
          <w:bCs/>
        </w:rPr>
        <w:t>L’enregistrement de la demande d’intervention doit faire l’objet d’une confirmation écrite (courriel) par le titulaire.</w:t>
      </w:r>
    </w:p>
    <w:p w14:paraId="1E6AC63D" w14:textId="77777777" w:rsidR="00E1299C" w:rsidRPr="0058758A" w:rsidRDefault="00E1299C" w:rsidP="003946F1">
      <w:pPr>
        <w:pStyle w:val="Paragraphedeliste"/>
        <w:numPr>
          <w:ilvl w:val="0"/>
          <w:numId w:val="9"/>
        </w:numPr>
        <w:rPr>
          <w:bCs/>
        </w:rPr>
      </w:pPr>
      <w:r w:rsidRPr="0058758A">
        <w:rPr>
          <w:bCs/>
        </w:rPr>
        <w:t xml:space="preserve">Le délai d’intervention commence dès l’enregistrement de la demande d’intervention du représentant </w:t>
      </w:r>
      <w:r w:rsidR="00967103" w:rsidRPr="0058758A">
        <w:rPr>
          <w:bCs/>
        </w:rPr>
        <w:t xml:space="preserve">d’INRAE </w:t>
      </w:r>
      <w:r w:rsidRPr="0058758A">
        <w:rPr>
          <w:bCs/>
        </w:rPr>
        <w:t>par le titulaire.</w:t>
      </w:r>
    </w:p>
    <w:p w14:paraId="0143D91F" w14:textId="77777777" w:rsidR="00E1299C" w:rsidRPr="0058758A" w:rsidRDefault="00E1299C" w:rsidP="00E1299C">
      <w:pPr>
        <w:rPr>
          <w:bCs/>
        </w:rPr>
      </w:pPr>
      <w:r w:rsidRPr="0058758A">
        <w:rPr>
          <w:bCs/>
        </w:rPr>
        <w:t xml:space="preserve">Dans le cas du non-respect de ce délai, le titulaire encourt une pénalité telle que décrite à l’article </w:t>
      </w:r>
      <w:r w:rsidR="00967103" w:rsidRPr="0058758A">
        <w:rPr>
          <w:bCs/>
        </w:rPr>
        <w:t xml:space="preserve">9.2 </w:t>
      </w:r>
      <w:r w:rsidRPr="0058758A">
        <w:rPr>
          <w:bCs/>
        </w:rPr>
        <w:t xml:space="preserve">du présent </w:t>
      </w:r>
      <w:r w:rsidR="00967103" w:rsidRPr="0058758A">
        <w:rPr>
          <w:bCs/>
        </w:rPr>
        <w:t>AE</w:t>
      </w:r>
      <w:r w:rsidRPr="0058758A">
        <w:rPr>
          <w:bCs/>
        </w:rPr>
        <w:t>CCP.</w:t>
      </w:r>
    </w:p>
    <w:p w14:paraId="22ED39C4" w14:textId="4799644C" w:rsidR="00E1299C" w:rsidRPr="0058758A" w:rsidRDefault="003E1C48" w:rsidP="003E1C48">
      <w:pPr>
        <w:keepNext/>
        <w:spacing w:before="240" w:after="240"/>
        <w:ind w:firstLine="1559"/>
        <w:outlineLvl w:val="1"/>
        <w:rPr>
          <w:rFonts w:cs="Arial"/>
          <w:i/>
          <w:iCs/>
          <w:color w:val="00A6A3"/>
        </w:rPr>
      </w:pPr>
      <w:bookmarkStart w:id="132" w:name="_Toc190693467"/>
      <w:r w:rsidRPr="0058758A">
        <w:rPr>
          <w:rFonts w:cs="Arial"/>
          <w:i/>
          <w:iCs/>
          <w:color w:val="00A6A3"/>
        </w:rPr>
        <w:t>11.2.</w:t>
      </w:r>
      <w:r w:rsidR="007E6DC3" w:rsidRPr="0058758A">
        <w:rPr>
          <w:rFonts w:cs="Arial"/>
          <w:i/>
          <w:iCs/>
          <w:color w:val="00A6A3"/>
        </w:rPr>
        <w:t>3</w:t>
      </w:r>
      <w:r w:rsidRPr="0058758A">
        <w:rPr>
          <w:rFonts w:cs="Arial"/>
          <w:i/>
          <w:iCs/>
          <w:color w:val="00A6A3"/>
        </w:rPr>
        <w:t xml:space="preserve"> - </w:t>
      </w:r>
      <w:r w:rsidR="00E1299C" w:rsidRPr="0058758A">
        <w:rPr>
          <w:rFonts w:cs="Arial"/>
          <w:i/>
          <w:iCs/>
          <w:color w:val="00A6A3"/>
        </w:rPr>
        <w:t>Délais de mise au point ou de réparation en cas de panne</w:t>
      </w:r>
      <w:bookmarkEnd w:id="132"/>
    </w:p>
    <w:p w14:paraId="01CDD895" w14:textId="2A192474" w:rsidR="00E1299C" w:rsidRPr="0058758A" w:rsidRDefault="00E1299C" w:rsidP="00251F30">
      <w:r w:rsidRPr="0058758A">
        <w:t xml:space="preserve">Pendant toute la période de garantie, le titulaire a une obligation de résultat et de délai concernant la remise en état de fonctionnement opérationnel de </w:t>
      </w:r>
      <w:r w:rsidR="00CC5CE8" w:rsidRPr="0058758A">
        <w:t xml:space="preserve">l’équipement </w:t>
      </w:r>
      <w:r w:rsidRPr="0058758A">
        <w:t>en conformité avec les performances techniques et fonctionnelles prévues dans le marché.</w:t>
      </w:r>
    </w:p>
    <w:p w14:paraId="50FA6E38" w14:textId="77777777" w:rsidR="00E1299C" w:rsidRPr="0058758A" w:rsidRDefault="00E1299C" w:rsidP="00251F30">
      <w:r w:rsidRPr="0058758A">
        <w:t xml:space="preserve">Conformément aux stipulations de l’article </w:t>
      </w:r>
      <w:r w:rsidR="00D869CD" w:rsidRPr="0058758A">
        <w:t>33.3</w:t>
      </w:r>
      <w:r w:rsidRPr="0058758A">
        <w:t xml:space="preserve"> du CCAG</w:t>
      </w:r>
      <w:r w:rsidR="00CC5CE8" w:rsidRPr="0058758A">
        <w:t>-</w:t>
      </w:r>
      <w:r w:rsidRPr="0058758A">
        <w:t xml:space="preserve">FCS, le délai dont dispose le titulaire pour effectuer une mise au point ou une réparation qui lui est demandée est celui qui est fixé par décision </w:t>
      </w:r>
      <w:r w:rsidR="007F74B9" w:rsidRPr="0058758A">
        <w:t>d’INRAE</w:t>
      </w:r>
      <w:r w:rsidRPr="0058758A">
        <w:t xml:space="preserve">, après consultation du titulaire. </w:t>
      </w:r>
    </w:p>
    <w:p w14:paraId="32634CFD" w14:textId="77777777" w:rsidR="00E1299C" w:rsidRPr="0058758A" w:rsidRDefault="00E1299C" w:rsidP="00251F30">
      <w:r w:rsidRPr="0058758A">
        <w:t xml:space="preserve">Sauf décision écrite expresse </w:t>
      </w:r>
      <w:r w:rsidR="007F74B9" w:rsidRPr="0058758A">
        <w:t>d’INRAE</w:t>
      </w:r>
      <w:r w:rsidRPr="0058758A">
        <w:t>, ce délai est inférieur au délai figurant dans le tableau ci-dessous.</w:t>
      </w:r>
    </w:p>
    <w:p w14:paraId="268D4CF2" w14:textId="77777777" w:rsidR="00E1299C" w:rsidRPr="0058758A" w:rsidRDefault="00E1299C" w:rsidP="00251F30">
      <w:r w:rsidRPr="0058758A">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58758A" w14:paraId="539290D4" w14:textId="77777777" w:rsidTr="00FE7F6E">
        <w:tc>
          <w:tcPr>
            <w:tcW w:w="4442" w:type="dxa"/>
          </w:tcPr>
          <w:p w14:paraId="0BBBA812" w14:textId="77777777" w:rsidR="00B7002F" w:rsidRPr="0058758A" w:rsidRDefault="00B7002F" w:rsidP="00FE7F6E">
            <w:pPr>
              <w:rPr>
                <w:rFonts w:cs="Arial"/>
                <w:b/>
              </w:rPr>
            </w:pPr>
            <w:r w:rsidRPr="0058758A">
              <w:rPr>
                <w:rFonts w:cs="Arial"/>
                <w:b/>
              </w:rPr>
              <w:t>Catégorie d’équipement / type pannes</w:t>
            </w:r>
          </w:p>
        </w:tc>
        <w:tc>
          <w:tcPr>
            <w:tcW w:w="3701" w:type="dxa"/>
          </w:tcPr>
          <w:p w14:paraId="392B7775" w14:textId="77777777" w:rsidR="00B7002F" w:rsidRPr="0058758A" w:rsidRDefault="00B7002F" w:rsidP="00AD1B16">
            <w:pPr>
              <w:rPr>
                <w:rFonts w:cs="Arial"/>
                <w:b/>
              </w:rPr>
            </w:pPr>
            <w:r w:rsidRPr="0058758A">
              <w:rPr>
                <w:rFonts w:cs="Arial"/>
                <w:b/>
              </w:rPr>
              <w:t>Délai maximum pour effectuer une mise au point ou une réparation (en jours calendaires)</w:t>
            </w:r>
          </w:p>
        </w:tc>
      </w:tr>
      <w:tr w:rsidR="00326D41" w:rsidRPr="0058758A" w14:paraId="00C0B11B" w14:textId="77777777" w:rsidTr="00FE7F6E">
        <w:tc>
          <w:tcPr>
            <w:tcW w:w="4442" w:type="dxa"/>
          </w:tcPr>
          <w:p w14:paraId="28027A3F" w14:textId="2A6C903B" w:rsidR="00326D41" w:rsidRPr="0058758A" w:rsidRDefault="00326D41" w:rsidP="00AD1B16">
            <w:pPr>
              <w:rPr>
                <w:rFonts w:cs="Arial"/>
              </w:rPr>
            </w:pPr>
            <w:r w:rsidRPr="0058758A">
              <w:rPr>
                <w:rFonts w:cs="Arial"/>
              </w:rPr>
              <w:t>Equipement acquis</w:t>
            </w:r>
          </w:p>
        </w:tc>
        <w:tc>
          <w:tcPr>
            <w:tcW w:w="3701" w:type="dxa"/>
          </w:tcPr>
          <w:p w14:paraId="02187EAF" w14:textId="0A39B6D7" w:rsidR="00326D41" w:rsidRPr="0058758A" w:rsidRDefault="00326D41" w:rsidP="00D869CD">
            <w:pPr>
              <w:jc w:val="center"/>
              <w:rPr>
                <w:rFonts w:cs="Arial"/>
              </w:rPr>
            </w:pPr>
            <w:r w:rsidRPr="0058758A">
              <w:rPr>
                <w:rFonts w:cs="Arial"/>
              </w:rPr>
              <w:t>10 / 20 jours</w:t>
            </w:r>
          </w:p>
        </w:tc>
      </w:tr>
      <w:tr w:rsidR="00123D4B" w:rsidRPr="0058758A" w14:paraId="2BB6BC75" w14:textId="77777777" w:rsidTr="00FE7F6E">
        <w:tc>
          <w:tcPr>
            <w:tcW w:w="4442" w:type="dxa"/>
          </w:tcPr>
          <w:p w14:paraId="38CB003D" w14:textId="77777777" w:rsidR="00B7002F" w:rsidRPr="0058758A" w:rsidRDefault="00B7002F" w:rsidP="00AD1B16">
            <w:pPr>
              <w:rPr>
                <w:rFonts w:cs="Arial"/>
              </w:rPr>
            </w:pPr>
            <w:r w:rsidRPr="0058758A">
              <w:rPr>
                <w:rFonts w:cs="Arial"/>
              </w:rPr>
              <w:t>Console électronique / informatique</w:t>
            </w:r>
          </w:p>
        </w:tc>
        <w:tc>
          <w:tcPr>
            <w:tcW w:w="3701" w:type="dxa"/>
          </w:tcPr>
          <w:p w14:paraId="5ED4FB3A" w14:textId="4CA796E8" w:rsidR="00B7002F" w:rsidRPr="0058758A" w:rsidRDefault="00326D41" w:rsidP="00D869CD">
            <w:pPr>
              <w:jc w:val="center"/>
              <w:rPr>
                <w:rFonts w:cs="Arial"/>
              </w:rPr>
            </w:pPr>
            <w:r w:rsidRPr="0058758A">
              <w:rPr>
                <w:rFonts w:cs="Arial"/>
              </w:rPr>
              <w:t>10</w:t>
            </w:r>
          </w:p>
        </w:tc>
      </w:tr>
      <w:tr w:rsidR="00B7002F" w:rsidRPr="0058758A" w14:paraId="6A1F10A2" w14:textId="77777777" w:rsidTr="00FE7F6E">
        <w:tc>
          <w:tcPr>
            <w:tcW w:w="4442" w:type="dxa"/>
          </w:tcPr>
          <w:p w14:paraId="596108EB" w14:textId="77777777" w:rsidR="00B7002F" w:rsidRPr="0058758A" w:rsidRDefault="00B7002F" w:rsidP="00AD1B16">
            <w:pPr>
              <w:rPr>
                <w:rFonts w:cs="Arial"/>
              </w:rPr>
            </w:pPr>
            <w:r w:rsidRPr="0058758A">
              <w:rPr>
                <w:rFonts w:cs="Arial"/>
              </w:rPr>
              <w:t>Matériel informatique</w:t>
            </w:r>
          </w:p>
        </w:tc>
        <w:tc>
          <w:tcPr>
            <w:tcW w:w="3701" w:type="dxa"/>
          </w:tcPr>
          <w:p w14:paraId="7AA013A8" w14:textId="77777777" w:rsidR="00B7002F" w:rsidRPr="0058758A" w:rsidRDefault="00B7002F" w:rsidP="00D869CD">
            <w:pPr>
              <w:jc w:val="center"/>
              <w:rPr>
                <w:rFonts w:cs="Arial"/>
              </w:rPr>
            </w:pPr>
            <w:r w:rsidRPr="0058758A">
              <w:rPr>
                <w:rFonts w:cs="Arial"/>
              </w:rPr>
              <w:t>7</w:t>
            </w:r>
          </w:p>
        </w:tc>
      </w:tr>
      <w:tr w:rsidR="00B7002F" w:rsidRPr="0058758A" w14:paraId="7E02E0ED" w14:textId="77777777" w:rsidTr="00FE7F6E">
        <w:tc>
          <w:tcPr>
            <w:tcW w:w="4442" w:type="dxa"/>
          </w:tcPr>
          <w:p w14:paraId="44CE19C0" w14:textId="77777777" w:rsidR="00B7002F" w:rsidRPr="0058758A" w:rsidRDefault="00B7002F" w:rsidP="00AD1B16">
            <w:pPr>
              <w:rPr>
                <w:rFonts w:cs="Arial"/>
              </w:rPr>
            </w:pPr>
            <w:r w:rsidRPr="0058758A">
              <w:rPr>
                <w:rFonts w:cs="Arial"/>
              </w:rPr>
              <w:t>Autres pannes</w:t>
            </w:r>
          </w:p>
        </w:tc>
        <w:tc>
          <w:tcPr>
            <w:tcW w:w="3701" w:type="dxa"/>
          </w:tcPr>
          <w:p w14:paraId="31BEC11A" w14:textId="77777777" w:rsidR="00B7002F" w:rsidRPr="0058758A" w:rsidRDefault="00B7002F" w:rsidP="00D869CD">
            <w:pPr>
              <w:jc w:val="center"/>
              <w:rPr>
                <w:rFonts w:cs="Arial"/>
              </w:rPr>
            </w:pPr>
            <w:r w:rsidRPr="0058758A">
              <w:rPr>
                <w:rFonts w:cs="Arial"/>
              </w:rPr>
              <w:t>20</w:t>
            </w:r>
          </w:p>
        </w:tc>
      </w:tr>
    </w:tbl>
    <w:p w14:paraId="4F7BE62C" w14:textId="77777777" w:rsidR="00E1299C" w:rsidRPr="0058758A" w:rsidRDefault="00E1299C" w:rsidP="00FE7F6E">
      <w:pPr>
        <w:pStyle w:val="Corpsdetexte"/>
        <w:rPr>
          <w:rFonts w:cs="Arial"/>
        </w:rPr>
      </w:pPr>
      <w:bookmarkStart w:id="133" w:name="_Toc337045491"/>
      <w:r w:rsidRPr="0058758A">
        <w:rPr>
          <w:rFonts w:cs="Arial"/>
        </w:rPr>
        <w:t xml:space="preserve">Passé ce délai, le titulaire encourt des pénalités telles que fixées à l’article </w:t>
      </w:r>
      <w:r w:rsidR="00D869CD" w:rsidRPr="0058758A">
        <w:rPr>
          <w:rFonts w:cs="Arial"/>
        </w:rPr>
        <w:t>9.2</w:t>
      </w:r>
      <w:r w:rsidRPr="0058758A">
        <w:rPr>
          <w:rFonts w:cs="Arial"/>
        </w:rPr>
        <w:t xml:space="preserve"> du présent </w:t>
      </w:r>
      <w:r w:rsidR="00D869CD" w:rsidRPr="0058758A">
        <w:rPr>
          <w:rFonts w:cs="Arial"/>
        </w:rPr>
        <w:t>AE</w:t>
      </w:r>
      <w:r w:rsidRPr="0058758A">
        <w:rPr>
          <w:rFonts w:cs="Arial"/>
        </w:rPr>
        <w:t>CCP.</w:t>
      </w:r>
      <w:bookmarkEnd w:id="133"/>
    </w:p>
    <w:p w14:paraId="5F3A0C69" w14:textId="79D0E6B1" w:rsidR="00E1299C" w:rsidRPr="0058758A" w:rsidRDefault="00AF2305" w:rsidP="00AF2305">
      <w:pPr>
        <w:keepNext/>
        <w:spacing w:before="240" w:after="240"/>
        <w:ind w:firstLine="1559"/>
        <w:outlineLvl w:val="1"/>
        <w:rPr>
          <w:rFonts w:cs="Arial"/>
          <w:i/>
          <w:iCs/>
          <w:color w:val="00A6A3"/>
        </w:rPr>
      </w:pPr>
      <w:bookmarkStart w:id="134" w:name="_Toc190693468"/>
      <w:r w:rsidRPr="0058758A">
        <w:rPr>
          <w:rFonts w:cs="Arial"/>
          <w:i/>
          <w:iCs/>
          <w:color w:val="00A6A3"/>
        </w:rPr>
        <w:t>11.2.</w:t>
      </w:r>
      <w:r w:rsidR="007E6DC3" w:rsidRPr="0058758A">
        <w:rPr>
          <w:rFonts w:cs="Arial"/>
          <w:i/>
          <w:iCs/>
          <w:color w:val="00A6A3"/>
        </w:rPr>
        <w:t>4</w:t>
      </w:r>
      <w:r w:rsidRPr="0058758A">
        <w:rPr>
          <w:rFonts w:cs="Arial"/>
          <w:i/>
          <w:iCs/>
          <w:color w:val="00A6A3"/>
        </w:rPr>
        <w:t xml:space="preserve"> - </w:t>
      </w:r>
      <w:r w:rsidR="00E1299C" w:rsidRPr="0058758A">
        <w:rPr>
          <w:rFonts w:cs="Arial"/>
          <w:i/>
          <w:iCs/>
          <w:color w:val="00A6A3"/>
        </w:rPr>
        <w:t>Obligation relative aux pièces détachées et consommables captifs</w:t>
      </w:r>
      <w:bookmarkEnd w:id="134"/>
    </w:p>
    <w:p w14:paraId="50FAFD99" w14:textId="56ECE573" w:rsidR="00E1299C" w:rsidRPr="0058758A" w:rsidRDefault="00E1299C" w:rsidP="00E1299C">
      <w:pPr>
        <w:pStyle w:val="Corpsdetexte"/>
        <w:rPr>
          <w:rFonts w:cs="Arial"/>
          <w:color w:val="E36C0A" w:themeColor="accent6" w:themeShade="BF"/>
        </w:rPr>
      </w:pPr>
      <w:r w:rsidRPr="0058758A">
        <w:rPr>
          <w:rFonts w:cs="Arial"/>
        </w:rPr>
        <w:t xml:space="preserve">Le titulaire s’engage à remplacer les pièces détachées usagées et à fournir les consommables captifs correspondants, pendant une </w:t>
      </w:r>
      <w:r w:rsidRPr="0058758A">
        <w:rPr>
          <w:rFonts w:cs="Arial"/>
          <w:b/>
        </w:rPr>
        <w:t xml:space="preserve">durée minimale de </w:t>
      </w:r>
      <w:r w:rsidR="009D6FEF" w:rsidRPr="0058758A">
        <w:rPr>
          <w:rFonts w:cs="Arial"/>
          <w:b/>
        </w:rPr>
        <w:t>huit (</w:t>
      </w:r>
      <w:r w:rsidR="00A451A9" w:rsidRPr="0058758A">
        <w:rPr>
          <w:rFonts w:cs="Arial"/>
          <w:b/>
        </w:rPr>
        <w:t>8</w:t>
      </w:r>
      <w:r w:rsidR="009D6FEF" w:rsidRPr="0058758A">
        <w:rPr>
          <w:rFonts w:cs="Arial"/>
          <w:b/>
        </w:rPr>
        <w:t>)</w:t>
      </w:r>
      <w:r w:rsidR="009D6FEF" w:rsidRPr="0058758A">
        <w:rPr>
          <w:rFonts w:cs="Arial"/>
          <w:b/>
          <w:color w:val="E36C0A" w:themeColor="accent6" w:themeShade="BF"/>
        </w:rPr>
        <w:t xml:space="preserve"> </w:t>
      </w:r>
      <w:r w:rsidRPr="0058758A">
        <w:rPr>
          <w:rFonts w:cs="Arial"/>
          <w:b/>
        </w:rPr>
        <w:t>ans</w:t>
      </w:r>
      <w:r w:rsidRPr="0058758A">
        <w:rPr>
          <w:rFonts w:cs="Arial"/>
        </w:rPr>
        <w:t xml:space="preserve"> à compter de la date d’admission de </w:t>
      </w:r>
      <w:r w:rsidR="00FE7F6E" w:rsidRPr="0058758A">
        <w:rPr>
          <w:rFonts w:cs="Arial"/>
        </w:rPr>
        <w:t>l’équipement</w:t>
      </w:r>
      <w:r w:rsidRPr="0058758A">
        <w:rPr>
          <w:rFonts w:cs="Arial"/>
        </w:rPr>
        <w:t xml:space="preserve"> acheté en application du présent </w:t>
      </w:r>
      <w:r w:rsidR="00FE7F6E" w:rsidRPr="0058758A">
        <w:rPr>
          <w:rFonts w:cs="Arial"/>
        </w:rPr>
        <w:t>marché</w:t>
      </w:r>
      <w:r w:rsidRPr="0058758A">
        <w:rPr>
          <w:rFonts w:cs="Arial"/>
        </w:rPr>
        <w:t xml:space="preserve">. </w:t>
      </w:r>
    </w:p>
    <w:p w14:paraId="47DFAE2C" w14:textId="77777777" w:rsidR="00E1299C" w:rsidRPr="0058758A" w:rsidRDefault="00E1299C" w:rsidP="00E1299C">
      <w:pPr>
        <w:rPr>
          <w:rFonts w:cs="Arial"/>
        </w:rPr>
      </w:pPr>
      <w:r w:rsidRPr="0058758A">
        <w:rPr>
          <w:rFonts w:cs="Arial"/>
        </w:rPr>
        <w:t xml:space="preserve">Dans le cas contraire le titulaire encourt une pénalité telle que décrite à l’article </w:t>
      </w:r>
      <w:r w:rsidR="00797BB0" w:rsidRPr="0058758A">
        <w:rPr>
          <w:rFonts w:cs="Arial"/>
        </w:rPr>
        <w:t>9.3.</w:t>
      </w:r>
    </w:p>
    <w:p w14:paraId="6B29B4C9" w14:textId="77777777" w:rsidR="00B24359" w:rsidRPr="0058758A" w:rsidRDefault="00B24359" w:rsidP="009D5209">
      <w:pPr>
        <w:pStyle w:val="Titre2"/>
        <w:rPr>
          <w:rFonts w:ascii="AvenirNext LT Pro Cn" w:hAnsi="AvenirNext LT Pro Cn"/>
          <w:sz w:val="22"/>
          <w:szCs w:val="22"/>
        </w:rPr>
      </w:pPr>
      <w:bookmarkStart w:id="135" w:name="_Toc190693469"/>
      <w:r w:rsidRPr="0058758A">
        <w:rPr>
          <w:rFonts w:ascii="AvenirNext LT Pro Cn" w:hAnsi="AvenirNext LT Pro Cn"/>
          <w:sz w:val="22"/>
          <w:szCs w:val="22"/>
        </w:rPr>
        <w:t>Maintenance</w:t>
      </w:r>
      <w:bookmarkEnd w:id="135"/>
    </w:p>
    <w:p w14:paraId="1D37E3C5" w14:textId="65430284" w:rsidR="003946F1" w:rsidRPr="0058758A" w:rsidRDefault="00123D4B" w:rsidP="00A451A9">
      <w:pPr>
        <w:rPr>
          <w:rFonts w:cs="Arial"/>
        </w:rPr>
      </w:pPr>
      <w:r w:rsidRPr="0058758A">
        <w:rPr>
          <w:rFonts w:cs="Arial"/>
        </w:rPr>
        <w:t>Sans objet.</w:t>
      </w:r>
    </w:p>
    <w:p w14:paraId="07560AAE" w14:textId="72636C90" w:rsidR="003946F1" w:rsidRPr="0058758A" w:rsidRDefault="003946F1" w:rsidP="003946F1">
      <w:pPr>
        <w:pStyle w:val="Titre1"/>
        <w:spacing w:after="240"/>
        <w:ind w:left="357" w:hanging="357"/>
        <w:rPr>
          <w:rFonts w:ascii="AvenirNext LT Pro Cn" w:hAnsi="AvenirNext LT Pro Cn"/>
          <w:sz w:val="22"/>
          <w:szCs w:val="22"/>
        </w:rPr>
      </w:pPr>
      <w:bookmarkStart w:id="136" w:name="_Toc190693470"/>
      <w:r w:rsidRPr="0058758A">
        <w:rPr>
          <w:rFonts w:ascii="AvenirNext LT Pro Cn" w:hAnsi="AvenirNext LT Pro Cn"/>
          <w:sz w:val="22"/>
          <w:szCs w:val="22"/>
        </w:rPr>
        <w:lastRenderedPageBreak/>
        <w:t>ASSURANCE</w:t>
      </w:r>
      <w:bookmarkEnd w:id="136"/>
    </w:p>
    <w:p w14:paraId="503DBA2E" w14:textId="7AB5F0FA" w:rsidR="003946F1" w:rsidRPr="0058758A" w:rsidRDefault="003946F1" w:rsidP="003946F1">
      <w:pPr>
        <w:autoSpaceDE w:val="0"/>
        <w:autoSpaceDN w:val="0"/>
        <w:adjustRightInd w:val="0"/>
        <w:spacing w:before="240"/>
        <w:rPr>
          <w:rFonts w:eastAsiaTheme="minorEastAsia" w:cs="Arial"/>
        </w:rPr>
      </w:pPr>
      <w:r w:rsidRPr="0058758A">
        <w:rPr>
          <w:rFonts w:cs="Arial"/>
        </w:rPr>
        <w:t>Le titulaire et ses sous-traitants doivent contracter les assurances permettant de garantir leur responsabilité à l'égard d’INRAE et des tiers, victimes d'accidents ou de dommages causés par l'exécution du marché.</w:t>
      </w:r>
    </w:p>
    <w:p w14:paraId="6B1C5DBC" w14:textId="080D9FF3" w:rsidR="003946F1" w:rsidRPr="0058758A" w:rsidRDefault="001D1A5D" w:rsidP="003946F1">
      <w:pPr>
        <w:keepLines/>
        <w:widowControl w:val="0"/>
        <w:autoSpaceDE w:val="0"/>
        <w:autoSpaceDN w:val="0"/>
        <w:adjustRightInd w:val="0"/>
        <w:rPr>
          <w:rFonts w:cs="Arial"/>
        </w:rPr>
      </w:pPr>
      <w:r w:rsidRPr="0058758A">
        <w:rPr>
          <w:rFonts w:cs="Arial"/>
        </w:rPr>
        <w:t>Conformément</w:t>
      </w:r>
      <w:r w:rsidR="003946F1" w:rsidRPr="0058758A">
        <w:rPr>
          <w:rFonts w:cs="Arial"/>
        </w:rPr>
        <w:t xml:space="preserve"> à l’article 9.2 du CCAG-FCS, il doit justifier </w:t>
      </w:r>
      <w:r w:rsidRPr="0058758A">
        <w:rPr>
          <w:rFonts w:cs="Arial"/>
        </w:rPr>
        <w:t>dans un délai de quinze jours à compter de la notification du marché et avant tout début d’exécution de celui-ci, qu’il est titulaire de ces contrats d’assurances, au moyen d’une attestation établissant l’étendue de la responsabilité garantie.</w:t>
      </w:r>
    </w:p>
    <w:p w14:paraId="0DBDCFF9" w14:textId="59E097A2" w:rsidR="001D1A5D" w:rsidRPr="0058758A" w:rsidRDefault="00497507" w:rsidP="003946F1">
      <w:pPr>
        <w:keepLines/>
        <w:widowControl w:val="0"/>
        <w:autoSpaceDE w:val="0"/>
        <w:autoSpaceDN w:val="0"/>
        <w:adjustRightInd w:val="0"/>
        <w:rPr>
          <w:rFonts w:cs="Arial"/>
        </w:rPr>
      </w:pPr>
      <w:r w:rsidRPr="0058758A">
        <w:rPr>
          <w:rFonts w:cs="Arial"/>
        </w:rPr>
        <w:t>À tout moment</w:t>
      </w:r>
      <w:r w:rsidR="001D1A5D" w:rsidRPr="0058758A">
        <w:rPr>
          <w:rFonts w:cs="Arial"/>
        </w:rPr>
        <w:t xml:space="preserve"> durant l’exécution du marché, le titulaire doit être en mesure de produire cette attestation, sur demande de l’acheteur et dans un délai de quinze jours à compter de la réception de la demande.</w:t>
      </w:r>
    </w:p>
    <w:p w14:paraId="47563208" w14:textId="77777777" w:rsidR="00F814DE" w:rsidRPr="0058758A" w:rsidRDefault="00F814DE" w:rsidP="00F814DE">
      <w:pPr>
        <w:pStyle w:val="Titre1"/>
        <w:spacing w:after="240"/>
        <w:ind w:left="357" w:hanging="357"/>
        <w:rPr>
          <w:rFonts w:ascii="AvenirNext LT Pro Cn" w:hAnsi="AvenirNext LT Pro Cn"/>
          <w:sz w:val="22"/>
          <w:szCs w:val="22"/>
        </w:rPr>
      </w:pPr>
      <w:bookmarkStart w:id="137" w:name="_Toc153959741"/>
      <w:bookmarkStart w:id="138" w:name="_Toc190693471"/>
      <w:bookmarkStart w:id="139" w:name="_Hlk163482910"/>
      <w:r w:rsidRPr="0058758A">
        <w:rPr>
          <w:rFonts w:ascii="AvenirNext LT Pro Cn" w:hAnsi="AvenirNext LT Pro Cn"/>
          <w:sz w:val="22"/>
          <w:szCs w:val="22"/>
        </w:rPr>
        <w:t>PROTECTION DES DONNES A CARACTERE PERSONNEL</w:t>
      </w:r>
      <w:bookmarkEnd w:id="137"/>
      <w:bookmarkEnd w:id="138"/>
      <w:r w:rsidRPr="0058758A">
        <w:rPr>
          <w:rFonts w:ascii="AvenirNext LT Pro Cn" w:hAnsi="AvenirNext LT Pro Cn"/>
          <w:sz w:val="22"/>
          <w:szCs w:val="22"/>
        </w:rPr>
        <w:t xml:space="preserve"> </w:t>
      </w:r>
    </w:p>
    <w:p w14:paraId="778C3B9A" w14:textId="77777777" w:rsidR="00F814DE" w:rsidRPr="0058758A" w:rsidRDefault="00F814DE" w:rsidP="00F814DE">
      <w:pPr>
        <w:keepNext/>
        <w:numPr>
          <w:ilvl w:val="1"/>
          <w:numId w:val="22"/>
        </w:numPr>
        <w:tabs>
          <w:tab w:val="num" w:pos="360"/>
          <w:tab w:val="num" w:pos="576"/>
        </w:tabs>
        <w:spacing w:before="240" w:after="60"/>
        <w:ind w:left="576" w:hanging="576"/>
        <w:jc w:val="left"/>
        <w:outlineLvl w:val="1"/>
        <w:rPr>
          <w:rFonts w:eastAsia="Times New Roman" w:cs="Times New Roman"/>
          <w:bCs/>
          <w:iCs/>
          <w:color w:val="33CCCC"/>
          <w:lang w:val="x-none" w:eastAsia="x-none"/>
        </w:rPr>
      </w:pPr>
      <w:bookmarkStart w:id="140" w:name="_Toc31886504"/>
      <w:bookmarkStart w:id="141" w:name="_Toc153959742"/>
      <w:bookmarkStart w:id="142" w:name="_Toc190693472"/>
      <w:r w:rsidRPr="0058758A">
        <w:rPr>
          <w:rFonts w:eastAsia="Times New Roman" w:cs="Times New Roman"/>
          <w:bCs/>
          <w:iCs/>
          <w:color w:val="33CCCC"/>
          <w:lang w:val="x-none" w:eastAsia="x-none"/>
        </w:rPr>
        <w:t>EXIGENCES REGLEMENTAIRES DE CONFIDENTIALITE ET SECURISATION DES DONNEES APPLICABLES AU TITULAIRE ET SES SOUS-TRAITANTS</w:t>
      </w:r>
      <w:bookmarkEnd w:id="140"/>
      <w:bookmarkEnd w:id="141"/>
      <w:bookmarkEnd w:id="142"/>
    </w:p>
    <w:p w14:paraId="59D76C71" w14:textId="77777777" w:rsidR="00F814DE" w:rsidRPr="0058758A" w:rsidRDefault="00F814DE" w:rsidP="00F814DE">
      <w:pPr>
        <w:spacing w:before="0" w:after="0"/>
        <w:rPr>
          <w:rFonts w:eastAsia="Times New Roman" w:cs="Calibri"/>
          <w:lang w:eastAsia="fr-FR"/>
        </w:rPr>
      </w:pPr>
    </w:p>
    <w:p w14:paraId="386821AA" w14:textId="3874EE7E" w:rsidR="00F814DE" w:rsidRPr="0058758A" w:rsidRDefault="00F814DE" w:rsidP="00F814DE">
      <w:pPr>
        <w:spacing w:before="0" w:after="0"/>
      </w:pPr>
      <w:r w:rsidRPr="0058758A">
        <w:t xml:space="preserve">L’offre du titulaire respecte les obligations posées par </w:t>
      </w:r>
      <w:r w:rsidR="004D5E16" w:rsidRPr="0058758A">
        <w:t>l’AECCP</w:t>
      </w:r>
      <w:r w:rsidRPr="0058758A">
        <w:t xml:space="preserve">. De plus, la gestion des données doit répondre aux exigences posées par le règlement européen sur les données personnelles, l'ANSSI et la DINUM. </w:t>
      </w:r>
    </w:p>
    <w:p w14:paraId="0DE03ED8" w14:textId="77777777" w:rsidR="00F814DE" w:rsidRPr="0058758A" w:rsidRDefault="00F814DE" w:rsidP="00F814DE">
      <w:pPr>
        <w:spacing w:before="0" w:after="0"/>
      </w:pPr>
    </w:p>
    <w:p w14:paraId="6ED78DE7" w14:textId="77777777" w:rsidR="00F814DE" w:rsidRPr="0058758A" w:rsidRDefault="00F814DE" w:rsidP="00F814DE">
      <w:pPr>
        <w:spacing w:before="0" w:after="0"/>
      </w:pPr>
      <w:r w:rsidRPr="0058758A">
        <w:t>La prestation doit être conforme aux référentiels ainsi qu'au règlement et doit évoluer conformément à leurs éventuelles révisions :</w:t>
      </w:r>
    </w:p>
    <w:p w14:paraId="5E6BC1EA" w14:textId="77777777" w:rsidR="00F814DE" w:rsidRPr="0058758A" w:rsidRDefault="00F814DE" w:rsidP="00F814DE">
      <w:pPr>
        <w:spacing w:before="0" w:after="0"/>
        <w:rPr>
          <w:rFonts w:eastAsia="Times New Roman" w:cs="Times New Roman"/>
          <w:lang w:eastAsia="fr-FR"/>
        </w:rPr>
      </w:pPr>
      <w:r w:rsidRPr="0058758A">
        <w:rPr>
          <w:rFonts w:eastAsia="Times New Roman" w:cs="Times New Roman"/>
          <w:lang w:eastAsia="fr-FR"/>
        </w:rPr>
        <w:t> </w:t>
      </w:r>
    </w:p>
    <w:p w14:paraId="66FB1688"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43" w:name="_Toc31886505"/>
      <w:bookmarkStart w:id="144" w:name="_Toc153959743"/>
      <w:bookmarkStart w:id="145" w:name="_Toc190693473"/>
      <w:r w:rsidRPr="0058758A">
        <w:rPr>
          <w:rFonts w:eastAsia="Calibri" w:cs="Times-Roman"/>
          <w:color w:val="33CCCC"/>
        </w:rPr>
        <w:t>Conformité au RGI</w:t>
      </w:r>
      <w:bookmarkEnd w:id="143"/>
      <w:bookmarkEnd w:id="144"/>
      <w:bookmarkEnd w:id="145"/>
    </w:p>
    <w:p w14:paraId="499C4828" w14:textId="77777777" w:rsidR="00F814DE" w:rsidRPr="0058758A" w:rsidRDefault="00F814DE" w:rsidP="00F814DE">
      <w:pPr>
        <w:spacing w:before="0" w:after="0"/>
        <w:rPr>
          <w:rFonts w:eastAsia="Times New Roman" w:cs="Calibri"/>
          <w:color w:val="33CCCC"/>
          <w:lang w:eastAsia="fr-FR"/>
        </w:rPr>
      </w:pPr>
      <w:r w:rsidRPr="0058758A">
        <w:rPr>
          <w:rFonts w:eastAsia="Times New Roman" w:cs="Calibri"/>
          <w:color w:val="33CCCC"/>
          <w:lang w:eastAsia="fr-FR"/>
        </w:rPr>
        <w:t xml:space="preserve"> </w:t>
      </w:r>
    </w:p>
    <w:p w14:paraId="0B88FDD4" w14:textId="77777777" w:rsidR="00F814DE" w:rsidRPr="0058758A" w:rsidRDefault="00F814DE" w:rsidP="00F814DE">
      <w:pPr>
        <w:spacing w:before="0" w:after="0"/>
      </w:pPr>
      <w:r w:rsidRPr="0058758A">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217E5295" w14:textId="77777777" w:rsidR="00F814DE" w:rsidRPr="0058758A" w:rsidRDefault="00F814DE" w:rsidP="00F814DE">
      <w:pPr>
        <w:spacing w:before="0" w:after="0"/>
      </w:pPr>
    </w:p>
    <w:p w14:paraId="0632EA2F" w14:textId="77777777" w:rsidR="00F814DE" w:rsidRPr="0058758A" w:rsidRDefault="00F814DE" w:rsidP="00F814DE">
      <w:pPr>
        <w:spacing w:before="0" w:after="0"/>
      </w:pPr>
      <w:r w:rsidRPr="0058758A">
        <w:t>La dernière version du RGI figure dans l'arrêté en date du 20 avril 2016. (JORF n°0095 du 22 avril 2016 texte n° 1)</w:t>
      </w:r>
    </w:p>
    <w:p w14:paraId="6A4ECE8F" w14:textId="77777777" w:rsidR="00F814DE" w:rsidRPr="0058758A" w:rsidRDefault="00F814DE" w:rsidP="00F814DE">
      <w:pPr>
        <w:spacing w:before="0" w:after="0"/>
      </w:pPr>
    </w:p>
    <w:p w14:paraId="6C573AB5" w14:textId="77777777" w:rsidR="00F814DE" w:rsidRPr="0058758A" w:rsidRDefault="00F814DE" w:rsidP="00F814DE">
      <w:pPr>
        <w:spacing w:before="0" w:after="0"/>
      </w:pPr>
      <w:r w:rsidRPr="0058758A">
        <w:t>Informations concernant le RGI :</w:t>
      </w:r>
    </w:p>
    <w:p w14:paraId="69742E22" w14:textId="77777777" w:rsidR="00F814DE" w:rsidRPr="0058758A" w:rsidRDefault="006D7D4C" w:rsidP="00F814DE">
      <w:pPr>
        <w:spacing w:before="0" w:after="0"/>
        <w:jc w:val="left"/>
        <w:rPr>
          <w:rFonts w:eastAsia="Times New Roman" w:cs="Calibri"/>
          <w:lang w:eastAsia="fr-FR"/>
        </w:rPr>
      </w:pPr>
      <w:hyperlink r:id="rId14" w:history="1">
        <w:r w:rsidR="00F814DE" w:rsidRPr="0058758A">
          <w:rPr>
            <w:rFonts w:eastAsia="Times New Roman" w:cs="Calibri"/>
            <w:color w:val="0563C1"/>
            <w:u w:val="single"/>
            <w:lang w:eastAsia="fr-FR"/>
          </w:rPr>
          <w:t>http://references.modernisation.gouv.fr/interoperabilite</w:t>
        </w:r>
      </w:hyperlink>
    </w:p>
    <w:p w14:paraId="291ABC46" w14:textId="77777777" w:rsidR="00F814DE" w:rsidRPr="0058758A" w:rsidRDefault="00F814DE" w:rsidP="00F814DE">
      <w:pPr>
        <w:spacing w:before="0" w:after="0"/>
        <w:rPr>
          <w:rFonts w:eastAsia="Times New Roman" w:cs="Times New Roman"/>
          <w:lang w:eastAsia="fr-FR"/>
        </w:rPr>
      </w:pPr>
      <w:r w:rsidRPr="0058758A">
        <w:rPr>
          <w:rFonts w:eastAsia="Times New Roman" w:cs="Times New Roman"/>
          <w:lang w:eastAsia="fr-FR"/>
        </w:rPr>
        <w:t> </w:t>
      </w:r>
    </w:p>
    <w:p w14:paraId="01B58ED1"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46" w:name="_Toc153959744"/>
      <w:bookmarkStart w:id="147" w:name="_Toc190693474"/>
      <w:bookmarkStart w:id="148" w:name="_Toc31886506"/>
      <w:r w:rsidRPr="0058758A">
        <w:rPr>
          <w:rFonts w:eastAsia="Calibri" w:cs="Times-Roman"/>
          <w:color w:val="33CCCC"/>
        </w:rPr>
        <w:t>Conformité au RGAA</w:t>
      </w:r>
      <w:bookmarkEnd w:id="146"/>
      <w:bookmarkEnd w:id="147"/>
      <w:r w:rsidRPr="0058758A">
        <w:rPr>
          <w:rFonts w:eastAsia="Calibri" w:cs="Times-Roman"/>
          <w:color w:val="33CCCC"/>
        </w:rPr>
        <w:t xml:space="preserve"> </w:t>
      </w:r>
      <w:bookmarkEnd w:id="148"/>
    </w:p>
    <w:p w14:paraId="2D34A30C" w14:textId="77777777" w:rsidR="00F814DE" w:rsidRPr="0058758A" w:rsidRDefault="00F814DE" w:rsidP="00F814DE">
      <w:pPr>
        <w:spacing w:before="0" w:after="0"/>
        <w:rPr>
          <w:rFonts w:eastAsia="Times New Roman" w:cs="Calibri"/>
          <w:lang w:eastAsia="fr-FR"/>
        </w:rPr>
      </w:pPr>
    </w:p>
    <w:p w14:paraId="575FC2E6" w14:textId="77777777" w:rsidR="00F814DE" w:rsidRPr="0058758A" w:rsidRDefault="00F814DE" w:rsidP="00F814DE">
      <w:pPr>
        <w:spacing w:before="0" w:after="0"/>
      </w:pPr>
      <w:r w:rsidRPr="0058758A">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0FC4E399" w14:textId="77777777" w:rsidR="00F814DE" w:rsidRPr="0058758A" w:rsidRDefault="00F814DE" w:rsidP="00F814DE">
      <w:pPr>
        <w:spacing w:before="0" w:after="0"/>
      </w:pPr>
      <w:r w:rsidRPr="0058758A">
        <w:t xml:space="preserve">Le RGAA, à forte dimension technique, propose une traduction opérationnelle des critères d’accessibilité issus des règles internationales ainsi qu’une méthodologie pour vérifier la conformité à ces critères. </w:t>
      </w:r>
    </w:p>
    <w:p w14:paraId="0F5C2998" w14:textId="77777777" w:rsidR="00F814DE" w:rsidRPr="0058758A" w:rsidRDefault="00F814DE" w:rsidP="00F814DE">
      <w:pPr>
        <w:spacing w:before="0" w:after="0"/>
      </w:pPr>
    </w:p>
    <w:p w14:paraId="5DB46ADB" w14:textId="77777777" w:rsidR="00F814DE" w:rsidRPr="0058758A" w:rsidRDefault="00F814DE" w:rsidP="00F814DE">
      <w:pPr>
        <w:spacing w:before="0" w:after="0"/>
      </w:pPr>
      <w:r w:rsidRPr="0058758A">
        <w:t xml:space="preserve">La version 3.0 du RGAA a été approuvée par l’arrêté du 29 avril 2015. </w:t>
      </w:r>
    </w:p>
    <w:p w14:paraId="6D744E10" w14:textId="77777777" w:rsidR="00F814DE" w:rsidRPr="0058758A" w:rsidRDefault="00F814DE" w:rsidP="00F814DE">
      <w:pPr>
        <w:spacing w:before="0" w:after="0"/>
      </w:pPr>
    </w:p>
    <w:p w14:paraId="21E3BB58" w14:textId="77777777" w:rsidR="00F814DE" w:rsidRPr="0058758A" w:rsidRDefault="00F814DE" w:rsidP="00F814DE">
      <w:pPr>
        <w:spacing w:before="0" w:after="0"/>
      </w:pPr>
      <w:r w:rsidRPr="0058758A">
        <w:t xml:space="preserve">Informations concernant le RGAA : </w:t>
      </w:r>
    </w:p>
    <w:p w14:paraId="3896D871" w14:textId="77777777" w:rsidR="00F814DE" w:rsidRPr="0058758A" w:rsidRDefault="006D7D4C" w:rsidP="00F814DE">
      <w:pPr>
        <w:spacing w:before="0" w:after="0"/>
        <w:jc w:val="left"/>
        <w:rPr>
          <w:rFonts w:eastAsia="Times New Roman" w:cs="Calibri"/>
          <w:color w:val="0563C1"/>
          <w:u w:val="single"/>
          <w:lang w:eastAsia="fr-FR"/>
        </w:rPr>
      </w:pPr>
      <w:hyperlink r:id="rId15" w:history="1">
        <w:r w:rsidR="00F814DE" w:rsidRPr="0058758A">
          <w:rPr>
            <w:rFonts w:eastAsia="Times New Roman" w:cs="Calibri"/>
            <w:color w:val="0563C1"/>
            <w:u w:val="single"/>
            <w:lang w:eastAsia="fr-FR"/>
          </w:rPr>
          <w:t>http://references.modernisation.gouv.fr/referentiel/</w:t>
        </w:r>
      </w:hyperlink>
    </w:p>
    <w:p w14:paraId="50AD09A2" w14:textId="378BE611" w:rsidR="00F814DE" w:rsidRPr="0058758A" w:rsidRDefault="00F814DE" w:rsidP="00F814DE">
      <w:pPr>
        <w:spacing w:before="0" w:after="0"/>
        <w:rPr>
          <w:rFonts w:eastAsia="Times New Roman" w:cs="Times New Roman"/>
          <w:lang w:eastAsia="fr-FR"/>
        </w:rPr>
      </w:pPr>
    </w:p>
    <w:p w14:paraId="1957780D" w14:textId="05F20DAE"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49" w:name="_Toc31886507"/>
      <w:bookmarkStart w:id="150" w:name="_Toc153959745"/>
      <w:bookmarkStart w:id="151" w:name="_Toc190693475"/>
      <w:r w:rsidRPr="0058758A">
        <w:rPr>
          <w:rFonts w:eastAsia="Calibri" w:cs="Times-Roman"/>
          <w:color w:val="33CCCC"/>
        </w:rPr>
        <w:t>Conformité au RGS</w:t>
      </w:r>
      <w:bookmarkEnd w:id="149"/>
      <w:bookmarkEnd w:id="150"/>
      <w:bookmarkEnd w:id="151"/>
    </w:p>
    <w:p w14:paraId="4BA5494A" w14:textId="77777777" w:rsidR="00F814DE" w:rsidRPr="0058758A" w:rsidRDefault="00F814DE" w:rsidP="00F814DE">
      <w:pPr>
        <w:spacing w:before="0" w:after="0"/>
        <w:rPr>
          <w:rFonts w:eastAsia="Times New Roman" w:cs="Calibri"/>
          <w:lang w:eastAsia="fr-FR"/>
        </w:rPr>
      </w:pPr>
    </w:p>
    <w:p w14:paraId="1EF96910" w14:textId="77777777" w:rsidR="00F814DE" w:rsidRPr="0058758A" w:rsidRDefault="00F814DE" w:rsidP="00F814DE">
      <w:pPr>
        <w:spacing w:before="0" w:after="0"/>
      </w:pPr>
      <w:r w:rsidRPr="0058758A">
        <w:lastRenderedPageBreak/>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614041BC" w14:textId="77777777" w:rsidR="00F814DE" w:rsidRPr="0058758A" w:rsidRDefault="00F814DE" w:rsidP="00F814DE">
      <w:pPr>
        <w:spacing w:before="0" w:after="0"/>
      </w:pPr>
      <w:r w:rsidRPr="0058758A">
        <w:t xml:space="preserve">La solution doit respecter les recommandations du RGS et particulièrement parmi celles-ci : </w:t>
      </w:r>
    </w:p>
    <w:p w14:paraId="7926A89A" w14:textId="77777777" w:rsidR="00F814DE" w:rsidRPr="0058758A" w:rsidRDefault="00F814DE" w:rsidP="00F814DE">
      <w:pPr>
        <w:spacing w:before="0" w:after="0"/>
      </w:pPr>
      <w:r w:rsidRPr="0058758A">
        <w:t>Une obligation de chiffrement des flux de données entre l’INRAE et le prestataire ainsi que ses sous-traitants éventuels,</w:t>
      </w:r>
    </w:p>
    <w:p w14:paraId="5B1F1DF2" w14:textId="77777777" w:rsidR="00F814DE" w:rsidRPr="0058758A" w:rsidRDefault="00F814DE" w:rsidP="00F814DE">
      <w:pPr>
        <w:spacing w:before="0" w:after="0"/>
      </w:pPr>
      <w:r w:rsidRPr="0058758A">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3CCAC72" w14:textId="77777777" w:rsidR="00F814DE" w:rsidRPr="0058758A" w:rsidRDefault="00F814DE" w:rsidP="00F814DE">
      <w:pPr>
        <w:spacing w:before="0" w:after="0"/>
      </w:pPr>
    </w:p>
    <w:p w14:paraId="6E0081F4" w14:textId="77777777" w:rsidR="00F814DE" w:rsidRPr="0058758A" w:rsidRDefault="00F814DE" w:rsidP="00F814DE">
      <w:pPr>
        <w:spacing w:before="0" w:after="0"/>
      </w:pPr>
      <w:r w:rsidRPr="0058758A">
        <w:t>Informations concernant le RGS :</w:t>
      </w:r>
    </w:p>
    <w:p w14:paraId="2486671A" w14:textId="77777777" w:rsidR="00F814DE" w:rsidRPr="0058758A" w:rsidRDefault="006D7D4C" w:rsidP="00F814DE">
      <w:pPr>
        <w:spacing w:before="0" w:after="0"/>
        <w:rPr>
          <w:rFonts w:eastAsia="Times New Roman" w:cs="Calibri"/>
          <w:color w:val="0563C1"/>
          <w:u w:val="single"/>
          <w:lang w:eastAsia="fr-FR"/>
        </w:rPr>
      </w:pPr>
      <w:hyperlink r:id="rId16" w:history="1">
        <w:r w:rsidR="00F814DE" w:rsidRPr="0058758A">
          <w:rPr>
            <w:rFonts w:eastAsia="Times New Roman" w:cs="Calibri"/>
            <w:color w:val="0563C1"/>
            <w:u w:val="single"/>
            <w:lang w:eastAsia="fr-FR"/>
          </w:rPr>
          <w:t>http://www.ssi.gouv.fr/administration/reglementation/confiance-numerique/le-referentiel-general-de-securite-rgs/</w:t>
        </w:r>
      </w:hyperlink>
    </w:p>
    <w:p w14:paraId="532E14DB" w14:textId="77777777" w:rsidR="00F814DE" w:rsidRPr="0058758A" w:rsidRDefault="00F814DE" w:rsidP="00F814DE">
      <w:pPr>
        <w:spacing w:before="0" w:after="0"/>
        <w:rPr>
          <w:rFonts w:eastAsia="Times New Roman" w:cs="Calibri"/>
          <w:lang w:eastAsia="fr-FR"/>
        </w:rPr>
      </w:pPr>
    </w:p>
    <w:p w14:paraId="01185877" w14:textId="77777777" w:rsidR="00F814DE" w:rsidRPr="0058758A" w:rsidRDefault="00F814DE" w:rsidP="00F814DE">
      <w:pPr>
        <w:spacing w:before="0" w:after="0"/>
        <w:rPr>
          <w:rFonts w:eastAsia="Times New Roman" w:cs="Calibri"/>
          <w:lang w:eastAsia="fr-FR"/>
        </w:rPr>
      </w:pPr>
    </w:p>
    <w:p w14:paraId="1E067D0A"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52" w:name="_Toc31886508"/>
      <w:bookmarkStart w:id="153" w:name="_Toc153959746"/>
      <w:bookmarkStart w:id="154" w:name="_Toc190693476"/>
      <w:r w:rsidRPr="0058758A">
        <w:rPr>
          <w:rFonts w:eastAsia="Calibri" w:cs="Times-Roman"/>
          <w:color w:val="33CCCC"/>
        </w:rPr>
        <w:t>Conformité à la PSSIE</w:t>
      </w:r>
      <w:bookmarkEnd w:id="152"/>
      <w:bookmarkEnd w:id="153"/>
      <w:bookmarkEnd w:id="154"/>
    </w:p>
    <w:p w14:paraId="79F797C3" w14:textId="77777777" w:rsidR="00F814DE" w:rsidRPr="0058758A" w:rsidRDefault="00F814DE" w:rsidP="00F814DE">
      <w:pPr>
        <w:spacing w:before="0" w:after="0"/>
        <w:ind w:left="792"/>
        <w:jc w:val="left"/>
        <w:rPr>
          <w:rFonts w:eastAsia="Times New Roman" w:cs="Times New Roman"/>
          <w:lang w:eastAsia="fr-FR"/>
        </w:rPr>
      </w:pPr>
    </w:p>
    <w:p w14:paraId="2A8602D9" w14:textId="77777777" w:rsidR="00F814DE" w:rsidRPr="0058758A" w:rsidRDefault="00F814DE" w:rsidP="00F814DE">
      <w:pPr>
        <w:spacing w:before="0" w:after="0"/>
      </w:pPr>
      <w:r w:rsidRPr="0058758A">
        <w:t>La Politique de Sécurité des Systèmes d’information de l’Etat est entrée en vigueur le 19/08/2014, qui fixe les règles de protection applicables aux systèmes d’information de l’Etat.</w:t>
      </w:r>
    </w:p>
    <w:p w14:paraId="72280962" w14:textId="77777777" w:rsidR="00F814DE" w:rsidRPr="0058758A" w:rsidRDefault="00F814DE" w:rsidP="00F814DE">
      <w:pPr>
        <w:spacing w:before="0" w:after="0"/>
      </w:pPr>
    </w:p>
    <w:p w14:paraId="04FCEA8B" w14:textId="77777777" w:rsidR="00F814DE" w:rsidRPr="0058758A" w:rsidRDefault="00F814DE" w:rsidP="00F814DE">
      <w:pPr>
        <w:spacing w:before="0" w:after="0"/>
      </w:pPr>
      <w:r w:rsidRPr="0058758A">
        <w:t>Informations concernant la PSSIE :</w:t>
      </w:r>
    </w:p>
    <w:p w14:paraId="75BE865F" w14:textId="77777777" w:rsidR="00F814DE" w:rsidRPr="0058758A" w:rsidRDefault="006D7D4C" w:rsidP="00F814DE">
      <w:pPr>
        <w:spacing w:before="0" w:after="0"/>
        <w:rPr>
          <w:rFonts w:eastAsia="Times New Roman" w:cs="Calibri"/>
          <w:lang w:eastAsia="fr-FR"/>
        </w:rPr>
      </w:pPr>
      <w:hyperlink r:id="rId17" w:history="1">
        <w:r w:rsidR="00F814DE" w:rsidRPr="0058758A">
          <w:rPr>
            <w:rFonts w:eastAsia="Times New Roman" w:cs="Calibri"/>
            <w:color w:val="0563C1"/>
            <w:u w:val="single"/>
            <w:lang w:eastAsia="fr-FR"/>
          </w:rPr>
          <w:t>https://www.ssi.gouv.fr/entreprise/reglementation/protection-des-systemes-dinformations/la-politique-de-securite-des-systemes-dinformation-de-letat-pssie/</w:t>
        </w:r>
      </w:hyperlink>
    </w:p>
    <w:p w14:paraId="2935ED57" w14:textId="77777777" w:rsidR="00F814DE" w:rsidRPr="0058758A" w:rsidRDefault="00F814DE" w:rsidP="00F814DE">
      <w:pPr>
        <w:spacing w:before="0" w:after="0"/>
        <w:rPr>
          <w:rFonts w:eastAsia="Times New Roman" w:cs="Calibri"/>
          <w:lang w:eastAsia="fr-FR"/>
        </w:rPr>
      </w:pPr>
    </w:p>
    <w:p w14:paraId="14DEDBC7" w14:textId="77777777" w:rsidR="00F814DE" w:rsidRPr="0058758A" w:rsidRDefault="00F814DE" w:rsidP="00F814DE">
      <w:pPr>
        <w:spacing w:before="0" w:after="0"/>
        <w:rPr>
          <w:rFonts w:eastAsia="Times New Roman" w:cs="Calibri"/>
          <w:lang w:eastAsia="fr-FR"/>
        </w:rPr>
      </w:pPr>
    </w:p>
    <w:p w14:paraId="44A22B79"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55" w:name="_Toc153959747"/>
      <w:bookmarkStart w:id="156" w:name="_Toc190693477"/>
      <w:bookmarkStart w:id="157" w:name="_Toc31886509"/>
      <w:r w:rsidRPr="0058758A">
        <w:rPr>
          <w:rFonts w:eastAsia="Calibri" w:cs="Times-Roman"/>
          <w:color w:val="33CCCC"/>
        </w:rPr>
        <w:t>Conformité au règlement européen 2016/679 - RGPD</w:t>
      </w:r>
      <w:bookmarkEnd w:id="155"/>
      <w:bookmarkEnd w:id="156"/>
      <w:r w:rsidRPr="0058758A">
        <w:rPr>
          <w:rFonts w:eastAsia="Calibri" w:cs="Times-Roman"/>
          <w:color w:val="33CCCC"/>
        </w:rPr>
        <w:t xml:space="preserve"> </w:t>
      </w:r>
      <w:bookmarkEnd w:id="157"/>
    </w:p>
    <w:p w14:paraId="1C6A940E" w14:textId="77777777" w:rsidR="00F814DE" w:rsidRPr="0058758A" w:rsidRDefault="00F814DE" w:rsidP="00F814DE">
      <w:pPr>
        <w:spacing w:before="0" w:after="0"/>
        <w:rPr>
          <w:rFonts w:eastAsia="Times New Roman" w:cs="Calibri"/>
          <w:lang w:eastAsia="fr-FR"/>
        </w:rPr>
      </w:pPr>
    </w:p>
    <w:p w14:paraId="3FBEA16C" w14:textId="77777777" w:rsidR="00F814DE" w:rsidRPr="0058758A" w:rsidRDefault="00F814DE" w:rsidP="00F814DE">
      <w:pPr>
        <w:spacing w:before="0" w:after="0"/>
      </w:pPr>
      <w:r w:rsidRPr="0058758A">
        <w:t>Il est relatif à la protection des personnes physiques à l'égard du traitement des données à caractère personnel et à la libre circulation de ces données</w:t>
      </w:r>
      <w:r w:rsidRPr="0058758A">
        <w:rPr>
          <w:rFonts w:eastAsia="Times New Roman" w:cs="Times New Roman"/>
          <w:lang w:eastAsia="fr-FR"/>
        </w:rPr>
        <w:t xml:space="preserve"> (</w:t>
      </w:r>
      <w:hyperlink r:id="rId18">
        <w:r w:rsidRPr="0058758A">
          <w:rPr>
            <w:rFonts w:eastAsia="Times New Roman" w:cs="Times New Roman"/>
            <w:color w:val="0563C1"/>
            <w:u w:val="single"/>
            <w:lang w:eastAsia="fr-FR"/>
          </w:rPr>
          <w:t>https://www.cnil.fr/fr/reglement-europeen-protection-donnees.),</w:t>
        </w:r>
      </w:hyperlink>
      <w:r w:rsidRPr="0058758A">
        <w:rPr>
          <w:rFonts w:eastAsia="Times New Roman" w:cs="Times New Roman"/>
          <w:lang w:eastAsia="fr-FR"/>
        </w:rPr>
        <w:t xml:space="preserve"> et plus </w:t>
      </w:r>
      <w:r w:rsidRPr="0058758A">
        <w:t>largement :</w:t>
      </w:r>
    </w:p>
    <w:p w14:paraId="0F4378E4" w14:textId="77777777" w:rsidR="00F814DE" w:rsidRPr="0058758A" w:rsidRDefault="00F814DE" w:rsidP="00F814DE">
      <w:pPr>
        <w:numPr>
          <w:ilvl w:val="0"/>
          <w:numId w:val="24"/>
        </w:numPr>
        <w:spacing w:before="0" w:after="0"/>
        <w:contextualSpacing/>
        <w:jc w:val="left"/>
      </w:pPr>
      <w:r w:rsidRPr="0058758A">
        <w:t xml:space="preserve">Le titulaire garantit la conformité de la solution proposée aux exigences de </w:t>
      </w:r>
      <w:proofErr w:type="spellStart"/>
      <w:r w:rsidRPr="0058758A">
        <w:t>privacy</w:t>
      </w:r>
      <w:proofErr w:type="spellEnd"/>
      <w:r w:rsidRPr="0058758A">
        <w:t xml:space="preserve"> by design prévues</w:t>
      </w:r>
      <w:r w:rsidRPr="0058758A">
        <w:rPr>
          <w:rFonts w:eastAsia="Times New Roman" w:cs="Times New Roman"/>
          <w:lang w:eastAsia="fr-FR"/>
        </w:rPr>
        <w:t xml:space="preserve"> </w:t>
      </w:r>
      <w:r w:rsidRPr="0058758A">
        <w:t>par le règlement européen,</w:t>
      </w:r>
    </w:p>
    <w:p w14:paraId="2A816F56" w14:textId="77777777" w:rsidR="00F814DE" w:rsidRPr="0058758A" w:rsidRDefault="00F814DE" w:rsidP="00F814DE">
      <w:pPr>
        <w:spacing w:before="0" w:after="0"/>
        <w:ind w:left="720"/>
        <w:contextualSpacing/>
      </w:pPr>
    </w:p>
    <w:p w14:paraId="42990C09" w14:textId="77777777" w:rsidR="00F814DE" w:rsidRPr="0058758A" w:rsidRDefault="00F814DE" w:rsidP="00F814DE">
      <w:pPr>
        <w:numPr>
          <w:ilvl w:val="0"/>
          <w:numId w:val="24"/>
        </w:numPr>
        <w:spacing w:before="0" w:after="0"/>
        <w:contextualSpacing/>
        <w:jc w:val="left"/>
      </w:pPr>
      <w:r w:rsidRPr="0058758A">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046F8E4A" w14:textId="77777777" w:rsidR="00F814DE" w:rsidRPr="0058758A" w:rsidRDefault="00F814DE" w:rsidP="00F814DE">
      <w:pPr>
        <w:spacing w:before="0" w:after="0"/>
        <w:ind w:left="720"/>
        <w:contextualSpacing/>
        <w:jc w:val="left"/>
        <w:rPr>
          <w:rFonts w:eastAsia="Times New Roman" w:cs="Calibri"/>
          <w:lang w:eastAsia="fr-FR"/>
        </w:rPr>
      </w:pPr>
    </w:p>
    <w:p w14:paraId="46B25844" w14:textId="77777777" w:rsidR="00F814DE" w:rsidRPr="0058758A" w:rsidRDefault="00F814DE" w:rsidP="00F814DE">
      <w:pPr>
        <w:spacing w:before="0" w:after="0"/>
        <w:rPr>
          <w:rFonts w:eastAsia="Times New Roman" w:cs="Times New Roman"/>
          <w:lang w:eastAsia="fr-FR"/>
        </w:rPr>
      </w:pPr>
      <w:r w:rsidRPr="0058758A">
        <w:t>L’étude d’impact est nécessaire dans les cas visés par la CNIL sur son site :</w:t>
      </w:r>
      <w:r w:rsidRPr="0058758A">
        <w:rPr>
          <w:rFonts w:eastAsia="Times New Roman" w:cs="Times New Roman"/>
          <w:lang w:eastAsia="fr-FR"/>
        </w:rPr>
        <w:t xml:space="preserve"> </w:t>
      </w:r>
      <w:hyperlink r:id="rId19">
        <w:r w:rsidRPr="0058758A">
          <w:rPr>
            <w:rFonts w:eastAsia="Segoe UI" w:cs="Segoe UI"/>
            <w:color w:val="0563C1"/>
            <w:u w:val="single"/>
            <w:lang w:eastAsia="fr-FR"/>
          </w:rPr>
          <w:t>https://www.cnil.fr/fr/ce-quil-faut-savoir-sur-lanalyse-dimpact-relative-la-protection-des-donnees-aipd</w:t>
        </w:r>
      </w:hyperlink>
      <w:r w:rsidRPr="0058758A">
        <w:rPr>
          <w:rFonts w:eastAsia="Segoe UI" w:cs="Segoe UI"/>
          <w:lang w:eastAsia="fr-FR"/>
        </w:rPr>
        <w:t xml:space="preserve"> </w:t>
      </w:r>
    </w:p>
    <w:p w14:paraId="42F10910" w14:textId="77777777" w:rsidR="00F814DE" w:rsidRPr="0058758A" w:rsidRDefault="00F814DE" w:rsidP="00F814DE">
      <w:pPr>
        <w:spacing w:before="0" w:after="0"/>
      </w:pPr>
    </w:p>
    <w:p w14:paraId="33F574EB" w14:textId="77777777" w:rsidR="00F814DE" w:rsidRPr="0058758A" w:rsidRDefault="00F814DE" w:rsidP="00F814DE">
      <w:pPr>
        <w:numPr>
          <w:ilvl w:val="0"/>
          <w:numId w:val="24"/>
        </w:numPr>
        <w:spacing w:before="0" w:after="0"/>
        <w:contextualSpacing/>
        <w:jc w:val="left"/>
      </w:pPr>
      <w:r w:rsidRPr="0058758A">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6A93277F" w14:textId="77777777" w:rsidR="00F814DE" w:rsidRPr="0058758A" w:rsidRDefault="00F814DE" w:rsidP="00F814DE">
      <w:pPr>
        <w:spacing w:before="0" w:after="0"/>
      </w:pPr>
    </w:p>
    <w:p w14:paraId="2A5F21F5" w14:textId="77777777" w:rsidR="00F814DE" w:rsidRPr="0058758A" w:rsidRDefault="00F814DE" w:rsidP="00F814DE">
      <w:pPr>
        <w:numPr>
          <w:ilvl w:val="0"/>
          <w:numId w:val="24"/>
        </w:numPr>
        <w:spacing w:before="0" w:after="0"/>
        <w:contextualSpacing/>
        <w:jc w:val="left"/>
      </w:pPr>
      <w:r w:rsidRPr="0058758A">
        <w:t>Le titulaire s'engage, le cas échéant, après notification et avant mise en production de la solution, à contractualiser avec INRAE le contrat de sous-traitance RGPD annexé au marché.</w:t>
      </w:r>
    </w:p>
    <w:p w14:paraId="1EA68049" w14:textId="77777777" w:rsidR="00F814DE" w:rsidRPr="0058758A" w:rsidRDefault="00F814DE" w:rsidP="00F814DE">
      <w:pPr>
        <w:spacing w:before="0" w:after="0"/>
        <w:ind w:left="360"/>
      </w:pPr>
    </w:p>
    <w:p w14:paraId="7494208C" w14:textId="77777777" w:rsidR="00F814DE" w:rsidRPr="0058758A" w:rsidRDefault="00F814DE" w:rsidP="00F814DE">
      <w:pPr>
        <w:spacing w:before="0" w:after="0"/>
        <w:ind w:left="360"/>
      </w:pPr>
      <w:r w:rsidRPr="0058758A">
        <w:t>Selon le montant du marché, le contrat RGPD choisi par INRAE sera au choix :</w:t>
      </w:r>
    </w:p>
    <w:p w14:paraId="71B18541" w14:textId="77777777" w:rsidR="00F814DE" w:rsidRPr="0058758A" w:rsidRDefault="00F814DE" w:rsidP="00F814DE">
      <w:pPr>
        <w:numPr>
          <w:ilvl w:val="0"/>
          <w:numId w:val="23"/>
        </w:numPr>
        <w:spacing w:before="0" w:after="0"/>
        <w:contextualSpacing/>
        <w:jc w:val="left"/>
        <w:rPr>
          <w:rFonts w:eastAsia="Times New Roman" w:cs="Times New Roman"/>
          <w:lang w:eastAsia="fr-FR"/>
        </w:rPr>
      </w:pPr>
      <w:r w:rsidRPr="0058758A">
        <w:lastRenderedPageBreak/>
        <w:t>Le contrat type de sous-traitance RGPD issu de la DÉCISION D’EXÉCUTION (UE) 2021/915 DE LA COMMISSION du 4 juin 2021</w:t>
      </w:r>
      <w:r w:rsidRPr="0058758A">
        <w:rPr>
          <w:rFonts w:eastAsia="Times New Roman" w:cs="Times New Roman"/>
          <w:lang w:eastAsia="fr-FR"/>
        </w:rPr>
        <w:t xml:space="preserve"> </w:t>
      </w:r>
      <w:hyperlink r:id="rId20">
        <w:r w:rsidRPr="0058758A">
          <w:rPr>
            <w:rFonts w:eastAsia="Segoe UI" w:cs="Segoe UI"/>
            <w:color w:val="0563C1"/>
            <w:u w:val="single"/>
            <w:lang w:eastAsia="fr-FR"/>
          </w:rPr>
          <w:t>https://www.cnil.fr/fr/commande-publique-quel-acteur-est-responsable-au-regard-du-rgpd</w:t>
        </w:r>
      </w:hyperlink>
      <w:r w:rsidRPr="0058758A">
        <w:rPr>
          <w:rFonts w:eastAsia="Segoe UI" w:cs="Segoe UI"/>
          <w:lang w:eastAsia="fr-FR"/>
        </w:rPr>
        <w:t xml:space="preserve"> </w:t>
      </w:r>
    </w:p>
    <w:p w14:paraId="42520C1E" w14:textId="77777777" w:rsidR="00F814DE" w:rsidRPr="0058758A" w:rsidRDefault="00F814DE" w:rsidP="00F814DE">
      <w:pPr>
        <w:numPr>
          <w:ilvl w:val="0"/>
          <w:numId w:val="23"/>
        </w:numPr>
        <w:spacing w:before="0" w:after="0"/>
        <w:contextualSpacing/>
        <w:jc w:val="left"/>
        <w:rPr>
          <w:rFonts w:eastAsia="Times New Roman" w:cs="Times New Roman"/>
          <w:lang w:eastAsia="fr-FR"/>
        </w:rPr>
      </w:pPr>
      <w:r w:rsidRPr="0058758A">
        <w:t>Le contrat type de sous-traitance RGPD publié par la CNIL</w:t>
      </w:r>
      <w:r w:rsidRPr="0058758A">
        <w:rPr>
          <w:rFonts w:eastAsia="Times New Roman" w:cs="Times New Roman"/>
          <w:lang w:eastAsia="fr-FR"/>
        </w:rPr>
        <w:t xml:space="preserve"> </w:t>
      </w:r>
      <w:hyperlink r:id="rId21">
        <w:r w:rsidRPr="0058758A">
          <w:rPr>
            <w:rFonts w:eastAsia="Segoe UI" w:cs="Segoe UI"/>
            <w:color w:val="0563C1"/>
            <w:u w:val="single"/>
            <w:lang w:eastAsia="fr-FR"/>
          </w:rPr>
          <w:t>https://www.cnil.fr/fr/sous-traitance-exemple-de-clauses</w:t>
        </w:r>
      </w:hyperlink>
    </w:p>
    <w:p w14:paraId="60A7BE54" w14:textId="77777777" w:rsidR="00F814DE" w:rsidRPr="0058758A" w:rsidRDefault="00F814DE" w:rsidP="00F814DE">
      <w:pPr>
        <w:spacing w:before="0" w:after="0"/>
        <w:contextualSpacing/>
        <w:rPr>
          <w:rFonts w:eastAsia="Times New Roman" w:cs="Calibri"/>
          <w:lang w:eastAsia="fr-FR"/>
        </w:rPr>
      </w:pPr>
    </w:p>
    <w:p w14:paraId="1E3D77C8" w14:textId="77777777" w:rsidR="00F814DE" w:rsidRPr="0058758A" w:rsidRDefault="00F814DE" w:rsidP="00F814DE">
      <w:pPr>
        <w:keepNext/>
        <w:numPr>
          <w:ilvl w:val="1"/>
          <w:numId w:val="22"/>
        </w:numPr>
        <w:tabs>
          <w:tab w:val="num" w:pos="360"/>
          <w:tab w:val="num" w:pos="576"/>
        </w:tabs>
        <w:spacing w:before="240" w:after="60"/>
        <w:ind w:left="576" w:hanging="576"/>
        <w:jc w:val="left"/>
        <w:outlineLvl w:val="1"/>
        <w:rPr>
          <w:rFonts w:eastAsia="Times New Roman" w:cs="Times New Roman"/>
          <w:bCs/>
          <w:iCs/>
          <w:color w:val="33CCCC"/>
          <w:lang w:val="x-none" w:eastAsia="x-none"/>
        </w:rPr>
      </w:pPr>
      <w:bookmarkStart w:id="158" w:name="_Toc31886510"/>
      <w:bookmarkStart w:id="159" w:name="_Toc153959748"/>
      <w:bookmarkStart w:id="160" w:name="_Toc190693478"/>
      <w:r w:rsidRPr="0058758A">
        <w:rPr>
          <w:rFonts w:eastAsia="Times New Roman" w:cs="Times New Roman"/>
          <w:bCs/>
          <w:iCs/>
          <w:color w:val="33CCCC"/>
          <w:lang w:val="x-none" w:eastAsia="x-none"/>
        </w:rPr>
        <w:t>ENGAGEMENT DU TITULAIRE</w:t>
      </w:r>
      <w:bookmarkEnd w:id="158"/>
      <w:bookmarkEnd w:id="159"/>
      <w:bookmarkEnd w:id="160"/>
    </w:p>
    <w:p w14:paraId="3728F046" w14:textId="77777777" w:rsidR="00F814DE" w:rsidRPr="0058758A" w:rsidRDefault="00F814DE" w:rsidP="00F814DE">
      <w:pPr>
        <w:spacing w:before="0" w:after="0"/>
        <w:jc w:val="left"/>
        <w:rPr>
          <w:rFonts w:eastAsia="Times New Roman" w:cs="Times New Roman"/>
          <w:color w:val="2EBBB8"/>
          <w:lang w:eastAsia="fr-FR"/>
        </w:rPr>
      </w:pPr>
    </w:p>
    <w:p w14:paraId="3896853F"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61" w:name="_Toc153959749"/>
      <w:bookmarkStart w:id="162" w:name="_Toc190693479"/>
      <w:bookmarkStart w:id="163" w:name="_Toc31886511"/>
      <w:r w:rsidRPr="0058758A">
        <w:rPr>
          <w:rFonts w:eastAsia="Calibri" w:cs="Times-Roman"/>
          <w:color w:val="33CCCC"/>
        </w:rPr>
        <w:t>Obligation de sécurisation des données</w:t>
      </w:r>
      <w:bookmarkEnd w:id="161"/>
      <w:bookmarkEnd w:id="162"/>
      <w:r w:rsidRPr="0058758A">
        <w:rPr>
          <w:rFonts w:eastAsia="Calibri" w:cs="Times-Roman"/>
          <w:color w:val="33CCCC"/>
        </w:rPr>
        <w:t xml:space="preserve"> </w:t>
      </w:r>
      <w:bookmarkEnd w:id="163"/>
    </w:p>
    <w:p w14:paraId="0182973C" w14:textId="77777777" w:rsidR="00F814DE" w:rsidRPr="0058758A" w:rsidRDefault="00F814DE" w:rsidP="00F814DE">
      <w:pPr>
        <w:spacing w:before="0" w:after="0"/>
        <w:rPr>
          <w:rFonts w:eastAsia="Times New Roman" w:cs="Calibri"/>
          <w:lang w:eastAsia="fr-FR"/>
        </w:rPr>
      </w:pPr>
    </w:p>
    <w:p w14:paraId="09F08801" w14:textId="77777777" w:rsidR="00F814DE" w:rsidRPr="0058758A" w:rsidRDefault="00F814DE" w:rsidP="00F814DE">
      <w:pPr>
        <w:spacing w:before="0" w:after="0"/>
      </w:pPr>
      <w:r w:rsidRPr="0058758A">
        <w:t>Au titre de son obligation de sécurisation des données, le titulaire s'engage donc notamment à :</w:t>
      </w:r>
    </w:p>
    <w:p w14:paraId="6B9E5279" w14:textId="77777777" w:rsidR="00F814DE" w:rsidRPr="0058758A" w:rsidRDefault="00F814DE" w:rsidP="00F814DE">
      <w:pPr>
        <w:numPr>
          <w:ilvl w:val="0"/>
          <w:numId w:val="27"/>
        </w:numPr>
        <w:spacing w:before="0" w:after="0"/>
      </w:pPr>
      <w:r w:rsidRPr="0058758A">
        <w:t xml:space="preserve">Ne pas utiliser ou copier les données traitées à des fins autres que celles spécifiées au présent marché, </w:t>
      </w:r>
    </w:p>
    <w:p w14:paraId="33CED592" w14:textId="77777777" w:rsidR="00F814DE" w:rsidRPr="0058758A" w:rsidRDefault="00F814DE" w:rsidP="00F814DE">
      <w:pPr>
        <w:numPr>
          <w:ilvl w:val="0"/>
          <w:numId w:val="27"/>
        </w:numPr>
        <w:spacing w:before="0" w:after="0"/>
      </w:pPr>
      <w:r w:rsidRPr="0058758A">
        <w:t xml:space="preserve">Ne pas divulguer les données à d'autres personnes privées ou publiques, physiques ou morales, </w:t>
      </w:r>
    </w:p>
    <w:p w14:paraId="20E40999" w14:textId="77777777" w:rsidR="00F814DE" w:rsidRPr="0058758A" w:rsidRDefault="00F814DE" w:rsidP="00F814DE">
      <w:pPr>
        <w:numPr>
          <w:ilvl w:val="0"/>
          <w:numId w:val="27"/>
        </w:numPr>
        <w:spacing w:before="0" w:after="0"/>
      </w:pPr>
      <w:r w:rsidRPr="0058758A">
        <w:t xml:space="preserve">Prendre toutes les mesures permettant d'éviter toute utilisation détournée ou frauduleuse des données, </w:t>
      </w:r>
    </w:p>
    <w:p w14:paraId="6750F7F7" w14:textId="77777777" w:rsidR="00F814DE" w:rsidRPr="0058758A" w:rsidRDefault="00F814DE" w:rsidP="00F814DE">
      <w:pPr>
        <w:numPr>
          <w:ilvl w:val="0"/>
          <w:numId w:val="27"/>
        </w:numPr>
        <w:spacing w:before="0" w:after="0"/>
      </w:pPr>
      <w:r w:rsidRPr="0058758A">
        <w:t xml:space="preserve">Prendre toutes les mesures, notamment de sécurité matérielle, pour assurer la conservation des données traitées dans le cadre du présent marché, </w:t>
      </w:r>
    </w:p>
    <w:p w14:paraId="2845A037" w14:textId="77777777" w:rsidR="00F814DE" w:rsidRPr="0058758A" w:rsidRDefault="00F814DE" w:rsidP="00F814DE">
      <w:pPr>
        <w:numPr>
          <w:ilvl w:val="0"/>
          <w:numId w:val="27"/>
        </w:numPr>
        <w:spacing w:before="0" w:after="0"/>
      </w:pPr>
      <w:r w:rsidRPr="0058758A">
        <w:t xml:space="preserve">Mettre en œuvre des moyens permettant de garantir la confidentialité, l'intégrité, la disponibilité et la résilience constantes des systèmes, services de traitement et des données, </w:t>
      </w:r>
    </w:p>
    <w:p w14:paraId="12201D86" w14:textId="77777777" w:rsidR="00F814DE" w:rsidRPr="0058758A" w:rsidRDefault="00F814DE" w:rsidP="00F814DE">
      <w:pPr>
        <w:numPr>
          <w:ilvl w:val="0"/>
          <w:numId w:val="27"/>
        </w:numPr>
        <w:spacing w:before="0" w:after="0"/>
      </w:pPr>
      <w:r w:rsidRPr="0058758A">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7519525A" w14:textId="77777777" w:rsidR="00F814DE" w:rsidRPr="0058758A" w:rsidRDefault="00F814DE" w:rsidP="00F814DE">
      <w:pPr>
        <w:numPr>
          <w:ilvl w:val="0"/>
          <w:numId w:val="27"/>
        </w:numPr>
        <w:spacing w:before="0" w:after="0"/>
      </w:pPr>
      <w:r w:rsidRPr="0058758A">
        <w:t xml:space="preserve">Mettre en œuvre des moyens permettant de rétablir la disponibilité des données et leur accès en cas d'incident physique ou technique dans des délais appropriés, </w:t>
      </w:r>
    </w:p>
    <w:p w14:paraId="67793B22" w14:textId="77777777" w:rsidR="00F814DE" w:rsidRPr="0058758A" w:rsidRDefault="00F814DE" w:rsidP="00F814DE">
      <w:pPr>
        <w:numPr>
          <w:ilvl w:val="0"/>
          <w:numId w:val="27"/>
        </w:numPr>
        <w:spacing w:before="0" w:after="0"/>
      </w:pPr>
      <w:r w:rsidRPr="0058758A">
        <w:t xml:space="preserve">Mettre en œuvre une procédure de test, analyse et évaluation régulière de l'efficacité des mesures techniques et organisationnelles assurant la sécurité des données, </w:t>
      </w:r>
    </w:p>
    <w:p w14:paraId="30DE6BAF" w14:textId="77777777" w:rsidR="00F814DE" w:rsidRPr="0058758A" w:rsidRDefault="00F814DE" w:rsidP="00F814DE">
      <w:pPr>
        <w:numPr>
          <w:ilvl w:val="0"/>
          <w:numId w:val="27"/>
        </w:numPr>
        <w:spacing w:before="0" w:after="0"/>
      </w:pPr>
      <w:r w:rsidRPr="0058758A">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5FD5D45E" w14:textId="77777777" w:rsidR="00F814DE" w:rsidRPr="0058758A" w:rsidRDefault="00F814DE" w:rsidP="00F814DE">
      <w:pPr>
        <w:numPr>
          <w:ilvl w:val="0"/>
          <w:numId w:val="27"/>
        </w:numPr>
        <w:spacing w:before="0" w:after="0"/>
      </w:pPr>
      <w:r w:rsidRPr="0058758A">
        <w:t>Lors des phases de développement, test et recette, ne pas utiliser les données personnelles réelles contenues dans les bases,</w:t>
      </w:r>
    </w:p>
    <w:p w14:paraId="2940F20B" w14:textId="77777777" w:rsidR="00F814DE" w:rsidRPr="0058758A" w:rsidRDefault="00F814DE" w:rsidP="00F814DE">
      <w:pPr>
        <w:numPr>
          <w:ilvl w:val="0"/>
          <w:numId w:val="27"/>
        </w:numPr>
        <w:spacing w:before="0" w:after="0"/>
      </w:pPr>
      <w:r w:rsidRPr="0058758A">
        <w:t xml:space="preserve">Mettre à la disposition d'INRAE les informations nécessaires afin de démontrer le respect de ces obligations et, à cette même fin, permettre la réalisation d'audits par INRAE. </w:t>
      </w:r>
    </w:p>
    <w:p w14:paraId="3B9245F2" w14:textId="77777777" w:rsidR="00F814DE" w:rsidRPr="0058758A" w:rsidRDefault="00F814DE" w:rsidP="00F814DE">
      <w:pPr>
        <w:spacing w:before="0" w:after="0"/>
        <w:ind w:left="708"/>
      </w:pPr>
    </w:p>
    <w:p w14:paraId="02D68246"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64" w:name="_Toc31886512"/>
      <w:bookmarkStart w:id="165" w:name="_Toc153959750"/>
      <w:bookmarkStart w:id="166" w:name="_Toc190693480"/>
      <w:r w:rsidRPr="0058758A">
        <w:rPr>
          <w:rFonts w:eastAsia="Calibri" w:cs="Times-Roman"/>
          <w:color w:val="33CCCC"/>
        </w:rPr>
        <w:t>Sécurisation des prestations et du Système d’Information</w:t>
      </w:r>
      <w:bookmarkEnd w:id="164"/>
      <w:bookmarkEnd w:id="165"/>
      <w:bookmarkEnd w:id="166"/>
    </w:p>
    <w:p w14:paraId="7A506BCD" w14:textId="77777777" w:rsidR="00F814DE" w:rsidRPr="0058758A" w:rsidRDefault="00F814DE" w:rsidP="00F814DE">
      <w:pPr>
        <w:spacing w:before="0" w:after="0"/>
        <w:rPr>
          <w:rFonts w:eastAsia="Times New Roman" w:cs="Calibri"/>
          <w:lang w:eastAsia="fr-FR"/>
        </w:rPr>
      </w:pPr>
    </w:p>
    <w:p w14:paraId="7A449666" w14:textId="77777777" w:rsidR="00F814DE" w:rsidRPr="0058758A" w:rsidRDefault="00F814DE" w:rsidP="00F814DE">
      <w:pPr>
        <w:spacing w:before="0" w:after="0"/>
      </w:pPr>
      <w:r w:rsidRPr="0058758A">
        <w:t xml:space="preserve">Au titre de la sécurisation des prestations et du SI, le titulaire s’engage notamment à : </w:t>
      </w:r>
    </w:p>
    <w:p w14:paraId="344AD2CC" w14:textId="77777777" w:rsidR="00F814DE" w:rsidRPr="0058758A" w:rsidRDefault="00F814DE" w:rsidP="00F814DE">
      <w:pPr>
        <w:numPr>
          <w:ilvl w:val="0"/>
          <w:numId w:val="25"/>
        </w:numPr>
        <w:spacing w:before="0" w:after="0"/>
        <w:contextualSpacing/>
        <w:jc w:val="left"/>
      </w:pPr>
      <w:r w:rsidRPr="0058758A">
        <w:t xml:space="preserve">Remettre à INRAE, dans le cadre de son offre technique, le Plan d’Assurance Sécurité (PAS) lié aux prestations du marché ainsi que chacune de ses mises à jour ayant eu lieu pendant la durée du celui-ci. </w:t>
      </w:r>
    </w:p>
    <w:p w14:paraId="3585ACCF" w14:textId="77777777" w:rsidR="00F814DE" w:rsidRPr="0058758A" w:rsidRDefault="00F814DE" w:rsidP="00F814DE">
      <w:pPr>
        <w:spacing w:before="0" w:after="0"/>
        <w:ind w:left="720"/>
        <w:contextualSpacing/>
      </w:pPr>
      <w:r w:rsidRPr="0058758A">
        <w:t>Lorsqu’elle est disponible, le titulaire fournit sa politique de sécurité des systèmes d’information (PSSI).</w:t>
      </w:r>
    </w:p>
    <w:p w14:paraId="64434CBA" w14:textId="77777777" w:rsidR="00F814DE" w:rsidRPr="0058758A" w:rsidRDefault="00F814DE" w:rsidP="00F814DE">
      <w:pPr>
        <w:numPr>
          <w:ilvl w:val="0"/>
          <w:numId w:val="25"/>
        </w:numPr>
        <w:spacing w:before="0" w:after="0"/>
        <w:contextualSpacing/>
        <w:jc w:val="left"/>
      </w:pPr>
      <w:r w:rsidRPr="0058758A">
        <w:t xml:space="preserve">Le PAS pourra évoluer pendant la durée du marché afin de présenter </w:t>
      </w:r>
      <w:proofErr w:type="gramStart"/>
      <w:r w:rsidRPr="0058758A">
        <w:t>a</w:t>
      </w:r>
      <w:proofErr w:type="gramEnd"/>
      <w:r w:rsidRPr="0058758A">
        <w:t xml:space="preserve"> minima les mesures de sécurisation concernant : </w:t>
      </w:r>
    </w:p>
    <w:p w14:paraId="04E35903" w14:textId="77777777" w:rsidR="00F814DE" w:rsidRPr="0058758A" w:rsidRDefault="00F814DE" w:rsidP="00F814DE">
      <w:pPr>
        <w:numPr>
          <w:ilvl w:val="1"/>
          <w:numId w:val="26"/>
        </w:numPr>
        <w:spacing w:before="0" w:after="0"/>
        <w:contextualSpacing/>
        <w:jc w:val="left"/>
      </w:pPr>
      <w:r w:rsidRPr="0058758A">
        <w:t>La sensibilisation et la formation des personnels et autres mesures de sécurité organisationnelles,</w:t>
      </w:r>
    </w:p>
    <w:p w14:paraId="20DA689C" w14:textId="77777777" w:rsidR="00F814DE" w:rsidRPr="0058758A" w:rsidRDefault="00F814DE" w:rsidP="00F814DE">
      <w:pPr>
        <w:numPr>
          <w:ilvl w:val="1"/>
          <w:numId w:val="26"/>
        </w:numPr>
        <w:spacing w:before="0" w:after="0"/>
        <w:contextualSpacing/>
        <w:jc w:val="left"/>
      </w:pPr>
      <w:r w:rsidRPr="0058758A">
        <w:t xml:space="preserve">Les développements spécifiques, </w:t>
      </w:r>
    </w:p>
    <w:p w14:paraId="75EBFC10" w14:textId="77777777" w:rsidR="00F814DE" w:rsidRPr="0058758A" w:rsidRDefault="00F814DE" w:rsidP="00F814DE">
      <w:pPr>
        <w:numPr>
          <w:ilvl w:val="1"/>
          <w:numId w:val="26"/>
        </w:numPr>
        <w:spacing w:before="0" w:after="0"/>
        <w:contextualSpacing/>
        <w:jc w:val="left"/>
      </w:pPr>
      <w:r w:rsidRPr="0058758A">
        <w:t xml:space="preserve">L’hébergement des données et des services, </w:t>
      </w:r>
    </w:p>
    <w:p w14:paraId="7931F861" w14:textId="77777777" w:rsidR="00F814DE" w:rsidRPr="0058758A" w:rsidRDefault="00F814DE" w:rsidP="00F814DE">
      <w:pPr>
        <w:numPr>
          <w:ilvl w:val="1"/>
          <w:numId w:val="26"/>
        </w:numPr>
        <w:spacing w:before="0" w:after="0"/>
        <w:contextualSpacing/>
        <w:jc w:val="left"/>
        <w:rPr>
          <w:rFonts w:eastAsia="Times New Roman" w:cs="Times New Roman"/>
          <w:lang w:eastAsia="fr-FR"/>
        </w:rPr>
      </w:pPr>
      <w:r w:rsidRPr="0058758A">
        <w:rPr>
          <w:rFonts w:eastAsia="Times New Roman" w:cs="Times New Roman"/>
          <w:lang w:eastAsia="fr-FR"/>
        </w:rPr>
        <w:t>La gestion des incidents de sécurité du titulaire,</w:t>
      </w:r>
    </w:p>
    <w:p w14:paraId="0D12AA23" w14:textId="77777777" w:rsidR="00F814DE" w:rsidRPr="0058758A" w:rsidRDefault="00F814DE" w:rsidP="00F814DE">
      <w:pPr>
        <w:numPr>
          <w:ilvl w:val="1"/>
          <w:numId w:val="26"/>
        </w:numPr>
        <w:spacing w:before="0" w:after="0"/>
        <w:contextualSpacing/>
        <w:jc w:val="left"/>
      </w:pPr>
      <w:r w:rsidRPr="0058758A">
        <w:t>Le maintien en condition de sécurité,</w:t>
      </w:r>
    </w:p>
    <w:p w14:paraId="2015AECC" w14:textId="77777777" w:rsidR="00F814DE" w:rsidRPr="0058758A" w:rsidRDefault="00F814DE" w:rsidP="00F814DE">
      <w:pPr>
        <w:numPr>
          <w:ilvl w:val="1"/>
          <w:numId w:val="26"/>
        </w:numPr>
        <w:spacing w:before="0" w:after="0"/>
        <w:contextualSpacing/>
        <w:jc w:val="left"/>
      </w:pPr>
      <w:r w:rsidRPr="0058758A">
        <w:lastRenderedPageBreak/>
        <w:t>La politique de gestion des postes de travail des intervenants de la prestation objet du marché,</w:t>
      </w:r>
    </w:p>
    <w:p w14:paraId="7ADF96C8" w14:textId="77777777" w:rsidR="00F814DE" w:rsidRPr="0058758A" w:rsidRDefault="00F814DE" w:rsidP="00F814DE">
      <w:pPr>
        <w:numPr>
          <w:ilvl w:val="1"/>
          <w:numId w:val="26"/>
        </w:numPr>
        <w:spacing w:before="0" w:after="0"/>
        <w:contextualSpacing/>
        <w:jc w:val="left"/>
      </w:pPr>
      <w:r w:rsidRPr="0058758A">
        <w:t>La conformité et les démarches de contrôle interne.</w:t>
      </w:r>
    </w:p>
    <w:p w14:paraId="6EA86C37" w14:textId="77777777" w:rsidR="00F814DE" w:rsidRPr="0058758A" w:rsidRDefault="00F814DE" w:rsidP="00F814DE">
      <w:pPr>
        <w:spacing w:before="0" w:after="0"/>
        <w:jc w:val="left"/>
      </w:pPr>
    </w:p>
    <w:p w14:paraId="4E4C7A08" w14:textId="77777777" w:rsidR="00F814DE" w:rsidRPr="0058758A" w:rsidRDefault="00F814DE" w:rsidP="00F814DE">
      <w:pPr>
        <w:spacing w:before="0" w:after="0"/>
      </w:pPr>
      <w:r w:rsidRPr="0058758A">
        <w:t>Dans le cadre de l’exécution du marché, l’ensemble des sous-traitants doit respecter l’ensemble des obligations auxquelles s’engage le titulaire et notamment fournir sa PAS au même titre que le titulaire.</w:t>
      </w:r>
    </w:p>
    <w:p w14:paraId="66F26F14" w14:textId="77777777" w:rsidR="00F814DE" w:rsidRPr="0058758A" w:rsidRDefault="00F814DE" w:rsidP="00F814DE">
      <w:pPr>
        <w:spacing w:before="0" w:after="0"/>
        <w:jc w:val="left"/>
        <w:rPr>
          <w:rFonts w:eastAsia="Times New Roman" w:cs="Times New Roman"/>
          <w:lang w:eastAsia="fr-FR"/>
        </w:rPr>
      </w:pPr>
    </w:p>
    <w:p w14:paraId="7D9C3ADD" w14:textId="77777777" w:rsidR="00F814DE" w:rsidRPr="0058758A" w:rsidRDefault="00F814DE" w:rsidP="00F814DE">
      <w:pPr>
        <w:spacing w:before="0" w:after="0"/>
        <w:jc w:val="left"/>
        <w:rPr>
          <w:rFonts w:eastAsia="Times New Roman" w:cs="Times New Roman"/>
          <w:lang w:eastAsia="fr-FR"/>
        </w:rPr>
      </w:pPr>
    </w:p>
    <w:p w14:paraId="6D8B2000" w14:textId="77777777" w:rsidR="00F814DE" w:rsidRPr="0058758A" w:rsidRDefault="00F814DE" w:rsidP="00F814DE">
      <w:pPr>
        <w:numPr>
          <w:ilvl w:val="2"/>
          <w:numId w:val="22"/>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67" w:name="_Toc153959751"/>
      <w:bookmarkStart w:id="168" w:name="_Toc190693481"/>
      <w:r w:rsidRPr="0058758A">
        <w:rPr>
          <w:rFonts w:eastAsia="Calibri" w:cs="Times-Roman"/>
          <w:color w:val="33CCCC"/>
        </w:rPr>
        <w:t>Données personnelles dans le cadre de la gestion de la relation contractuelle</w:t>
      </w:r>
      <w:bookmarkEnd w:id="167"/>
      <w:bookmarkEnd w:id="168"/>
    </w:p>
    <w:p w14:paraId="0D57999D" w14:textId="77777777" w:rsidR="00F814DE" w:rsidRPr="0058758A" w:rsidRDefault="00F814DE" w:rsidP="00F814DE">
      <w:pPr>
        <w:spacing w:before="0" w:after="0"/>
        <w:rPr>
          <w:rFonts w:eastAsia="Times New Roman" w:cs="Calibri"/>
          <w:lang w:eastAsia="fr-FR"/>
        </w:rPr>
      </w:pPr>
    </w:p>
    <w:p w14:paraId="74ACC804" w14:textId="77777777" w:rsidR="00F814DE" w:rsidRPr="0058758A" w:rsidRDefault="00F814DE" w:rsidP="00F814DE">
      <w:pPr>
        <w:spacing w:before="0" w:after="0"/>
      </w:pPr>
      <w:r w:rsidRPr="0058758A">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3823332" w14:textId="77777777" w:rsidR="00F814DE" w:rsidRPr="0058758A" w:rsidRDefault="00F814DE" w:rsidP="00F814DE">
      <w:pPr>
        <w:spacing w:before="0" w:after="0"/>
      </w:pPr>
    </w:p>
    <w:p w14:paraId="54F2D4D0" w14:textId="77777777" w:rsidR="00F814DE" w:rsidRPr="0058758A" w:rsidRDefault="00F814DE" w:rsidP="00F814DE">
      <w:pPr>
        <w:spacing w:before="0" w:after="0"/>
      </w:pPr>
      <w:r w:rsidRPr="0058758A">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02DB0CA1" w14:textId="77777777" w:rsidR="00F814DE" w:rsidRPr="0058758A" w:rsidRDefault="00F814DE" w:rsidP="00F814DE">
      <w:pPr>
        <w:spacing w:before="0" w:after="0"/>
      </w:pPr>
      <w:r w:rsidRPr="0058758A">
        <w:t xml:space="preserve">Les parties prendront toutes les mesures techniques et organisationnelles appropriées pour protéger et sécuriser ces données. Les parties mettront tout en œuvre pour empêcher tout traitement non autorisé ou illégal de ces données. </w:t>
      </w:r>
    </w:p>
    <w:p w14:paraId="28802088" w14:textId="77777777" w:rsidR="00F814DE" w:rsidRPr="0058758A" w:rsidRDefault="00F814DE" w:rsidP="00F814DE">
      <w:pPr>
        <w:spacing w:before="0" w:after="0"/>
        <w:jc w:val="left"/>
      </w:pPr>
    </w:p>
    <w:p w14:paraId="0EB7E85B" w14:textId="77777777" w:rsidR="00B3398C" w:rsidRPr="0058758A" w:rsidRDefault="00B3398C" w:rsidP="00760980">
      <w:pPr>
        <w:pStyle w:val="Titre1"/>
        <w:spacing w:after="240"/>
        <w:ind w:left="357" w:hanging="357"/>
        <w:rPr>
          <w:rFonts w:ascii="AvenirNext LT Pro Cn" w:hAnsi="AvenirNext LT Pro Cn"/>
          <w:i/>
          <w:iCs/>
          <w:sz w:val="22"/>
          <w:szCs w:val="22"/>
        </w:rPr>
      </w:pPr>
      <w:bookmarkStart w:id="169" w:name="_Toc190693482"/>
      <w:bookmarkEnd w:id="139"/>
      <w:r w:rsidRPr="0058758A">
        <w:rPr>
          <w:rFonts w:ascii="AvenirNext LT Pro Cn" w:hAnsi="AvenirNext LT Pro Cn"/>
          <w:sz w:val="22"/>
          <w:szCs w:val="22"/>
        </w:rPr>
        <w:t>LITIGES</w:t>
      </w:r>
      <w:bookmarkEnd w:id="169"/>
    </w:p>
    <w:p w14:paraId="40599997" w14:textId="77777777" w:rsidR="00B3398C" w:rsidRPr="0058758A" w:rsidRDefault="006D028A" w:rsidP="00760980">
      <w:pPr>
        <w:rPr>
          <w:bCs/>
        </w:rPr>
      </w:pPr>
      <w:r w:rsidRPr="0058758A">
        <w:rPr>
          <w:bCs/>
        </w:rPr>
        <w:t xml:space="preserve">Si </w:t>
      </w:r>
      <w:r w:rsidR="007B63E7" w:rsidRPr="0058758A">
        <w:rPr>
          <w:bCs/>
        </w:rPr>
        <w:t>un désaccord</w:t>
      </w:r>
      <w:r w:rsidR="00B3398C" w:rsidRPr="0058758A">
        <w:rPr>
          <w:bCs/>
        </w:rPr>
        <w:t xml:space="preserve"> n</w:t>
      </w:r>
      <w:r w:rsidR="007B63E7" w:rsidRPr="0058758A">
        <w:rPr>
          <w:bCs/>
        </w:rPr>
        <w:t>ait</w:t>
      </w:r>
      <w:r w:rsidR="00B3398C" w:rsidRPr="0058758A">
        <w:rPr>
          <w:bCs/>
        </w:rPr>
        <w:t xml:space="preserve"> à l’occasion de l’exécution du présent marché, les parties s’efforceront de trouver un accord amiable à leur litige.</w:t>
      </w:r>
    </w:p>
    <w:p w14:paraId="4866137A" w14:textId="3994F3C0" w:rsidR="00911DB8" w:rsidRPr="0058758A" w:rsidRDefault="00B3398C" w:rsidP="00760980">
      <w:pPr>
        <w:rPr>
          <w:bCs/>
        </w:rPr>
      </w:pPr>
      <w:r w:rsidRPr="0058758A">
        <w:rPr>
          <w:bCs/>
        </w:rPr>
        <w:t>A défaut d’accord</w:t>
      </w:r>
      <w:r w:rsidR="006D028A" w:rsidRPr="0058758A">
        <w:rPr>
          <w:bCs/>
        </w:rPr>
        <w:t xml:space="preserve"> amiable</w:t>
      </w:r>
      <w:r w:rsidRPr="0058758A">
        <w:rPr>
          <w:bCs/>
        </w:rPr>
        <w:t>, le tribunal administratif</w:t>
      </w:r>
      <w:r w:rsidR="00A70B76" w:rsidRPr="0058758A">
        <w:rPr>
          <w:bCs/>
        </w:rPr>
        <w:t xml:space="preserve"> de</w:t>
      </w:r>
      <w:r w:rsidR="00394191" w:rsidRPr="0058758A">
        <w:rPr>
          <w:bCs/>
        </w:rPr>
        <w:t xml:space="preserve"> </w:t>
      </w:r>
      <w:sdt>
        <w:sdtPr>
          <w:rPr>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C12A8E" w:rsidRPr="0058758A">
            <w:rPr>
              <w:bCs/>
            </w:rPr>
            <w:t>Versailles</w:t>
          </w:r>
        </w:sdtContent>
      </w:sdt>
      <w:r w:rsidR="00394191" w:rsidRPr="0058758A">
        <w:rPr>
          <w:bCs/>
        </w:rPr>
        <w:t xml:space="preserve"> est le </w:t>
      </w:r>
      <w:r w:rsidRPr="0058758A">
        <w:rPr>
          <w:bCs/>
        </w:rPr>
        <w:t>seul compétent.</w:t>
      </w:r>
    </w:p>
    <w:p w14:paraId="0F061AC5" w14:textId="77777777" w:rsidR="00642C9F" w:rsidRPr="0058758A" w:rsidRDefault="00642C9F" w:rsidP="0004041A">
      <w:pPr>
        <w:pStyle w:val="Titre1"/>
        <w:spacing w:before="360"/>
        <w:ind w:left="357" w:hanging="357"/>
        <w:rPr>
          <w:rFonts w:ascii="AvenirNext LT Pro Cn" w:hAnsi="AvenirNext LT Pro Cn"/>
          <w:i/>
          <w:iCs/>
          <w:sz w:val="22"/>
          <w:szCs w:val="22"/>
        </w:rPr>
      </w:pPr>
      <w:bookmarkStart w:id="170" w:name="_Toc190693483"/>
      <w:r w:rsidRPr="0058758A">
        <w:rPr>
          <w:rFonts w:ascii="AvenirNext LT Pro Cn" w:hAnsi="AvenirNext LT Pro Cn"/>
          <w:sz w:val="22"/>
          <w:szCs w:val="22"/>
        </w:rPr>
        <w:t>DEROGATIONS AU CCAG-FCS</w:t>
      </w:r>
      <w:bookmarkEnd w:id="170"/>
    </w:p>
    <w:p w14:paraId="783DBD2C" w14:textId="77777777" w:rsidR="00760980" w:rsidRPr="0058758A" w:rsidRDefault="00760980" w:rsidP="008630D8">
      <w:pPr>
        <w:spacing w:before="0" w:after="0"/>
      </w:pPr>
    </w:p>
    <w:tbl>
      <w:tblPr>
        <w:tblStyle w:val="Grilledutableau"/>
        <w:tblW w:w="0" w:type="auto"/>
        <w:tblLook w:val="04A0" w:firstRow="1" w:lastRow="0" w:firstColumn="1" w:lastColumn="0" w:noHBand="0" w:noVBand="1"/>
      </w:tblPr>
      <w:tblGrid>
        <w:gridCol w:w="5665"/>
        <w:gridCol w:w="2977"/>
      </w:tblGrid>
      <w:tr w:rsidR="00797BB0" w:rsidRPr="0058758A" w14:paraId="7936FBF5" w14:textId="77777777" w:rsidTr="00FE7EAD">
        <w:tc>
          <w:tcPr>
            <w:tcW w:w="5665" w:type="dxa"/>
          </w:tcPr>
          <w:p w14:paraId="738F375E" w14:textId="77777777" w:rsidR="00797BB0" w:rsidRPr="0058758A" w:rsidRDefault="00797BB0" w:rsidP="00967E74">
            <w:pPr>
              <w:jc w:val="center"/>
              <w:rPr>
                <w:b/>
              </w:rPr>
            </w:pPr>
            <w:r w:rsidRPr="0058758A">
              <w:rPr>
                <w:b/>
              </w:rPr>
              <w:t>Articles du CCAG-FCS auxquels il est dérogé</w:t>
            </w:r>
          </w:p>
        </w:tc>
        <w:tc>
          <w:tcPr>
            <w:tcW w:w="2977" w:type="dxa"/>
          </w:tcPr>
          <w:p w14:paraId="584C110D" w14:textId="77777777" w:rsidR="00797BB0" w:rsidRPr="0058758A" w:rsidRDefault="00967E74" w:rsidP="00967E74">
            <w:pPr>
              <w:jc w:val="center"/>
              <w:rPr>
                <w:b/>
              </w:rPr>
            </w:pPr>
            <w:r w:rsidRPr="0058758A">
              <w:rPr>
                <w:b/>
              </w:rPr>
              <w:t>Articles de l’AECCP dérogeant au CCAG-FCS</w:t>
            </w:r>
          </w:p>
        </w:tc>
      </w:tr>
      <w:tr w:rsidR="00797BB0" w:rsidRPr="0058758A" w14:paraId="027861A6" w14:textId="77777777" w:rsidTr="00FE7EAD">
        <w:tc>
          <w:tcPr>
            <w:tcW w:w="5665" w:type="dxa"/>
          </w:tcPr>
          <w:p w14:paraId="4D6CD6D8" w14:textId="616540E9" w:rsidR="00797BB0" w:rsidRPr="0058758A" w:rsidRDefault="00967E74" w:rsidP="00FE7EAD">
            <w:pPr>
              <w:spacing w:before="60" w:after="60"/>
              <w:jc w:val="left"/>
            </w:pPr>
            <w:r w:rsidRPr="0058758A">
              <w:t>4.1</w:t>
            </w:r>
            <w:r w:rsidR="001D1A5D" w:rsidRPr="0058758A">
              <w:t xml:space="preserve"> (ordre de priorité des pièces)</w:t>
            </w:r>
          </w:p>
        </w:tc>
        <w:tc>
          <w:tcPr>
            <w:tcW w:w="2977" w:type="dxa"/>
          </w:tcPr>
          <w:p w14:paraId="637B0B96" w14:textId="77777777" w:rsidR="00797BB0" w:rsidRPr="0058758A" w:rsidRDefault="00967E74" w:rsidP="00FE7EAD">
            <w:pPr>
              <w:spacing w:before="60" w:after="60"/>
              <w:jc w:val="center"/>
            </w:pPr>
            <w:r w:rsidRPr="0058758A">
              <w:t>2</w:t>
            </w:r>
          </w:p>
        </w:tc>
      </w:tr>
      <w:tr w:rsidR="007B63E7" w:rsidRPr="0058758A" w14:paraId="04A031FF" w14:textId="77777777" w:rsidTr="00FE7EAD">
        <w:tc>
          <w:tcPr>
            <w:tcW w:w="5665" w:type="dxa"/>
          </w:tcPr>
          <w:p w14:paraId="5F46BCD9" w14:textId="680BE250" w:rsidR="007B63E7" w:rsidRPr="0058758A" w:rsidRDefault="007B63E7" w:rsidP="00FE7EAD">
            <w:pPr>
              <w:spacing w:before="60" w:after="60"/>
              <w:jc w:val="left"/>
            </w:pPr>
            <w:r w:rsidRPr="0058758A">
              <w:t>4.2.1</w:t>
            </w:r>
            <w:r w:rsidR="001D1A5D" w:rsidRPr="0058758A">
              <w:t xml:space="preserve"> (pièces notification)</w:t>
            </w:r>
          </w:p>
        </w:tc>
        <w:tc>
          <w:tcPr>
            <w:tcW w:w="2977" w:type="dxa"/>
          </w:tcPr>
          <w:p w14:paraId="37C7BCBB" w14:textId="77777777" w:rsidR="007B63E7" w:rsidRPr="0058758A" w:rsidRDefault="007B63E7" w:rsidP="00FE7EAD">
            <w:pPr>
              <w:spacing w:before="60" w:after="60"/>
              <w:jc w:val="center"/>
            </w:pPr>
            <w:r w:rsidRPr="0058758A">
              <w:t>2.1</w:t>
            </w:r>
          </w:p>
        </w:tc>
      </w:tr>
      <w:tr w:rsidR="00731362" w:rsidRPr="0058758A" w14:paraId="13DAF2CC" w14:textId="77777777" w:rsidTr="00FE7EAD">
        <w:tc>
          <w:tcPr>
            <w:tcW w:w="5665" w:type="dxa"/>
          </w:tcPr>
          <w:p w14:paraId="41024B5B" w14:textId="44A40D7B" w:rsidR="00731362" w:rsidRPr="0058758A" w:rsidRDefault="00731362" w:rsidP="00FE7EAD">
            <w:pPr>
              <w:spacing w:before="60" w:after="60"/>
              <w:jc w:val="left"/>
            </w:pPr>
            <w:r w:rsidRPr="0058758A">
              <w:t>14</w:t>
            </w:r>
            <w:r w:rsidR="001D1A5D" w:rsidRPr="0058758A">
              <w:t xml:space="preserve"> – 14.1.1 – 14.1.3 (pénalités)</w:t>
            </w:r>
          </w:p>
        </w:tc>
        <w:tc>
          <w:tcPr>
            <w:tcW w:w="2977" w:type="dxa"/>
          </w:tcPr>
          <w:p w14:paraId="1011BF0C" w14:textId="525CEDC2" w:rsidR="00731362" w:rsidRPr="0058758A" w:rsidRDefault="00731362" w:rsidP="00FE7EAD">
            <w:pPr>
              <w:spacing w:before="60" w:after="60"/>
              <w:jc w:val="center"/>
            </w:pPr>
            <w:r w:rsidRPr="0058758A">
              <w:t>9</w:t>
            </w:r>
          </w:p>
        </w:tc>
      </w:tr>
      <w:tr w:rsidR="00E41162" w:rsidRPr="0058758A" w14:paraId="474D780E" w14:textId="77777777" w:rsidTr="00FE7EAD">
        <w:tc>
          <w:tcPr>
            <w:tcW w:w="5665" w:type="dxa"/>
          </w:tcPr>
          <w:p w14:paraId="4C930F9E" w14:textId="2E348F54" w:rsidR="00E41162" w:rsidRPr="0058758A" w:rsidRDefault="00FE7EAD" w:rsidP="00FE7EAD">
            <w:pPr>
              <w:spacing w:before="60" w:after="60"/>
              <w:jc w:val="left"/>
            </w:pPr>
            <w:r w:rsidRPr="0058758A">
              <w:t xml:space="preserve">28 - </w:t>
            </w:r>
            <w:r w:rsidR="00731362" w:rsidRPr="0058758A">
              <w:t>28.</w:t>
            </w:r>
            <w:r w:rsidRPr="0058758A">
              <w:t xml:space="preserve">1 – 28.2 (opérations de vérification – délais VA et VSR) </w:t>
            </w:r>
          </w:p>
        </w:tc>
        <w:tc>
          <w:tcPr>
            <w:tcW w:w="2977" w:type="dxa"/>
          </w:tcPr>
          <w:p w14:paraId="40CB0361" w14:textId="77777777" w:rsidR="00E41162" w:rsidRPr="0058758A" w:rsidRDefault="00E41162" w:rsidP="00FE7EAD">
            <w:pPr>
              <w:spacing w:before="60" w:after="60"/>
              <w:jc w:val="center"/>
            </w:pPr>
            <w:r w:rsidRPr="0058758A">
              <w:t>5.2</w:t>
            </w:r>
          </w:p>
        </w:tc>
      </w:tr>
    </w:tbl>
    <w:p w14:paraId="53E94CDB" w14:textId="77777777" w:rsidR="00760980" w:rsidRPr="0058758A" w:rsidRDefault="00760980" w:rsidP="00C67E16">
      <w:pPr>
        <w:spacing w:before="0" w:after="0"/>
        <w:rPr>
          <w:sz w:val="24"/>
          <w:szCs w:val="24"/>
        </w:rPr>
      </w:pPr>
    </w:p>
    <w:sectPr w:rsidR="00760980" w:rsidRPr="0058758A"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AB1A5" w14:textId="77777777" w:rsidR="003840C3" w:rsidRDefault="003840C3">
      <w:r>
        <w:separator/>
      </w:r>
    </w:p>
  </w:endnote>
  <w:endnote w:type="continuationSeparator" w:id="0">
    <w:p w14:paraId="49CB2538" w14:textId="77777777" w:rsidR="003840C3" w:rsidRDefault="0038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venirNext LT Pro LightCn">
    <w:panose1 w:val="020B0406020202020204"/>
    <w:charset w:val="00"/>
    <w:family w:val="swiss"/>
    <w:notTrueType/>
    <w:pitch w:val="variable"/>
    <w:sig w:usb0="800000A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3840C3" w:rsidRDefault="003840C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3840C3" w:rsidRDefault="003840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0A2C567D" w14:textId="6A5C8DD8" w:rsidR="003840C3" w:rsidRDefault="003840C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24</w:t>
            </w:r>
            <w:r>
              <w:rPr>
                <w:b/>
                <w:bCs/>
                <w:sz w:val="24"/>
                <w:szCs w:val="24"/>
              </w:rPr>
              <w:fldChar w:fldCharType="end"/>
            </w:r>
          </w:p>
        </w:sdtContent>
      </w:sdt>
    </w:sdtContent>
  </w:sdt>
  <w:p w14:paraId="61FEA6E4" w14:textId="77777777" w:rsidR="003840C3" w:rsidRDefault="003840C3"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045BF" w14:textId="77777777" w:rsidR="003840C3" w:rsidRDefault="003840C3">
      <w:r>
        <w:separator/>
      </w:r>
    </w:p>
  </w:footnote>
  <w:footnote w:type="continuationSeparator" w:id="0">
    <w:p w14:paraId="00E92A53" w14:textId="77777777" w:rsidR="003840C3" w:rsidRDefault="003840C3">
      <w:r>
        <w:continuationSeparator/>
      </w:r>
    </w:p>
  </w:footnote>
  <w:footnote w:id="1">
    <w:p w14:paraId="7B1D0AB2" w14:textId="77777777" w:rsidR="003840C3" w:rsidRPr="001B1AB6" w:rsidRDefault="003840C3" w:rsidP="0058758A">
      <w:pPr>
        <w:pStyle w:val="Retraitcorpsdetexte"/>
        <w:spacing w:before="0" w:after="0"/>
        <w:ind w:left="0"/>
        <w:rPr>
          <w:rFonts w:ascii="AvenirNext LT Pro Cn" w:hAnsi="AvenirNext LT Pro Cn"/>
          <w:i/>
          <w:sz w:val="18"/>
          <w:szCs w:val="18"/>
        </w:rPr>
      </w:pPr>
      <w:r w:rsidRPr="001B1AB6">
        <w:rPr>
          <w:rStyle w:val="Appelnotedebasdep"/>
          <w:rFonts w:ascii="AvenirNext LT Pro Cn" w:hAnsi="AvenirNext LT Pro Cn"/>
          <w:i/>
          <w:sz w:val="18"/>
          <w:szCs w:val="18"/>
        </w:rPr>
        <w:footnoteRef/>
      </w:r>
      <w:r w:rsidRPr="001B1AB6">
        <w:rPr>
          <w:rFonts w:ascii="AvenirNext LT Pro Cn" w:hAnsi="AvenirNext LT Pro Cn"/>
          <w:i/>
          <w:sz w:val="18"/>
          <w:szCs w:val="18"/>
        </w:rPr>
        <w:t xml:space="preserve"> Signature et cachet commercial du titulaire avec mention des nom et qualité du signataire</w:t>
      </w:r>
    </w:p>
  </w:footnote>
  <w:footnote w:id="2">
    <w:p w14:paraId="24303D43" w14:textId="77777777" w:rsidR="003840C3" w:rsidRPr="00460E17" w:rsidRDefault="003840C3" w:rsidP="0058758A">
      <w:pPr>
        <w:pStyle w:val="Notedebasdepage"/>
        <w:spacing w:before="0" w:after="0"/>
        <w:rPr>
          <w:rFonts w:ascii="Arial" w:hAnsi="Arial" w:cs="Arial"/>
          <w:i/>
          <w:sz w:val="18"/>
          <w:szCs w:val="18"/>
        </w:rPr>
      </w:pPr>
      <w:r w:rsidRPr="001B1AB6">
        <w:rPr>
          <w:rStyle w:val="Appelnotedebasdep"/>
          <w:rFonts w:cs="Arial"/>
          <w:i/>
          <w:sz w:val="18"/>
          <w:szCs w:val="18"/>
        </w:rPr>
        <w:footnoteRef/>
      </w:r>
      <w:r w:rsidRPr="001B1AB6">
        <w:rPr>
          <w:rFonts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DBB668E"/>
    <w:multiLevelType w:val="hybridMultilevel"/>
    <w:tmpl w:val="2D72B950"/>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9"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E2C6236"/>
    <w:multiLevelType w:val="multilevel"/>
    <w:tmpl w:val="0F825CE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F9E4807"/>
    <w:multiLevelType w:val="multilevel"/>
    <w:tmpl w:val="8AF6635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1850"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2"/>
  </w:num>
  <w:num w:numId="4">
    <w:abstractNumId w:val="18"/>
  </w:num>
  <w:num w:numId="5">
    <w:abstractNumId w:val="15"/>
  </w:num>
  <w:num w:numId="6">
    <w:abstractNumId w:val="6"/>
  </w:num>
  <w:num w:numId="7">
    <w:abstractNumId w:val="13"/>
  </w:num>
  <w:num w:numId="8">
    <w:abstractNumId w:val="0"/>
  </w:num>
  <w:num w:numId="9">
    <w:abstractNumId w:val="23"/>
  </w:num>
  <w:num w:numId="10">
    <w:abstractNumId w:val="9"/>
  </w:num>
  <w:num w:numId="11">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21"/>
  </w:num>
  <w:num w:numId="13">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6"/>
  </w:num>
  <w:num w:numId="15">
    <w:abstractNumId w:val="1"/>
  </w:num>
  <w:num w:numId="16">
    <w:abstractNumId w:val="17"/>
  </w:num>
  <w:num w:numId="17">
    <w:abstractNumId w:val="7"/>
  </w:num>
  <w:num w:numId="18">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9"/>
  </w:num>
  <w:num w:numId="21">
    <w:abstractNumId w:val="10"/>
  </w:num>
  <w:num w:numId="22">
    <w:abstractNumId w:val="12"/>
    <w:lvlOverride w:ilvl="1">
      <w:lvl w:ilvl="1">
        <w:start w:val="1"/>
        <w:numFmt w:val="decimal"/>
        <w:pStyle w:val="Titre2"/>
        <w:lvlText w:val="%1.%2."/>
        <w:lvlJc w:val="left"/>
        <w:pPr>
          <w:ind w:left="792" w:hanging="432"/>
        </w:pPr>
        <w:rPr>
          <w:rFonts w:hint="default"/>
          <w:b w:val="0"/>
          <w:color w:val="00A6A3"/>
        </w:rPr>
      </w:lvl>
    </w:lvlOverride>
    <w:lvlOverride w:ilvl="2">
      <w:lvl w:ilvl="2">
        <w:start w:val="1"/>
        <w:numFmt w:val="decimal"/>
        <w:pStyle w:val="Titre3"/>
        <w:lvlText w:val="%1.%2.%3."/>
        <w:lvlJc w:val="left"/>
        <w:pPr>
          <w:ind w:left="1224" w:hanging="504"/>
        </w:pPr>
        <w:rPr>
          <w:rFonts w:hint="default"/>
          <w:b w:val="0"/>
          <w:color w:val="00A6A3"/>
        </w:rPr>
      </w:lvl>
    </w:lvlOverride>
  </w:num>
  <w:num w:numId="23">
    <w:abstractNumId w:val="8"/>
  </w:num>
  <w:num w:numId="24">
    <w:abstractNumId w:val="2"/>
  </w:num>
  <w:num w:numId="25">
    <w:abstractNumId w:val="4"/>
  </w:num>
  <w:num w:numId="26">
    <w:abstractNumId w:val="14"/>
  </w:num>
  <w:num w:numId="27">
    <w:abstractNumId w:val="5"/>
  </w:num>
  <w:num w:numId="28">
    <w:abstractNumId w:val="12"/>
  </w:num>
  <w:num w:numId="29">
    <w:abstractNumId w:val="11"/>
  </w:num>
  <w:num w:numId="30">
    <w:abstractNumId w:val="3"/>
  </w:num>
  <w:num w:numId="31">
    <w:abstractNumId w:val="12"/>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4A13"/>
    <w:rsid w:val="00006BC9"/>
    <w:rsid w:val="00016E7E"/>
    <w:rsid w:val="000222BE"/>
    <w:rsid w:val="000225F6"/>
    <w:rsid w:val="00026F20"/>
    <w:rsid w:val="000279E4"/>
    <w:rsid w:val="00036DFA"/>
    <w:rsid w:val="0003702D"/>
    <w:rsid w:val="0004041A"/>
    <w:rsid w:val="00042D7D"/>
    <w:rsid w:val="00050D7B"/>
    <w:rsid w:val="00063BE9"/>
    <w:rsid w:val="00065251"/>
    <w:rsid w:val="00072C1C"/>
    <w:rsid w:val="0009322A"/>
    <w:rsid w:val="00094D42"/>
    <w:rsid w:val="00096E84"/>
    <w:rsid w:val="000A0229"/>
    <w:rsid w:val="000A127B"/>
    <w:rsid w:val="000A175F"/>
    <w:rsid w:val="000A70CD"/>
    <w:rsid w:val="000A7225"/>
    <w:rsid w:val="000A7363"/>
    <w:rsid w:val="000B4AD3"/>
    <w:rsid w:val="000B7E1A"/>
    <w:rsid w:val="000C38BD"/>
    <w:rsid w:val="000D2752"/>
    <w:rsid w:val="000D76B3"/>
    <w:rsid w:val="000E0421"/>
    <w:rsid w:val="000E0CED"/>
    <w:rsid w:val="000E3328"/>
    <w:rsid w:val="000E5048"/>
    <w:rsid w:val="000E7690"/>
    <w:rsid w:val="000F09A7"/>
    <w:rsid w:val="00100D66"/>
    <w:rsid w:val="001051F5"/>
    <w:rsid w:val="00116F23"/>
    <w:rsid w:val="00123D4B"/>
    <w:rsid w:val="001246BE"/>
    <w:rsid w:val="00134A5A"/>
    <w:rsid w:val="001434B3"/>
    <w:rsid w:val="0014659F"/>
    <w:rsid w:val="001514A5"/>
    <w:rsid w:val="00163EEE"/>
    <w:rsid w:val="001704DA"/>
    <w:rsid w:val="00173F44"/>
    <w:rsid w:val="00177F31"/>
    <w:rsid w:val="00183187"/>
    <w:rsid w:val="00186FA0"/>
    <w:rsid w:val="00191162"/>
    <w:rsid w:val="0019745F"/>
    <w:rsid w:val="001A72C8"/>
    <w:rsid w:val="001B1AB6"/>
    <w:rsid w:val="001B303D"/>
    <w:rsid w:val="001B75C4"/>
    <w:rsid w:val="001D1A5D"/>
    <w:rsid w:val="001D4D11"/>
    <w:rsid w:val="001D517B"/>
    <w:rsid w:val="001D73E9"/>
    <w:rsid w:val="001E21C7"/>
    <w:rsid w:val="001F1FFA"/>
    <w:rsid w:val="00200A87"/>
    <w:rsid w:val="00216003"/>
    <w:rsid w:val="00220244"/>
    <w:rsid w:val="002217A4"/>
    <w:rsid w:val="002258B6"/>
    <w:rsid w:val="00226BDE"/>
    <w:rsid w:val="00246557"/>
    <w:rsid w:val="00251F30"/>
    <w:rsid w:val="00256376"/>
    <w:rsid w:val="00260443"/>
    <w:rsid w:val="0026288D"/>
    <w:rsid w:val="00270346"/>
    <w:rsid w:val="00274965"/>
    <w:rsid w:val="00280B7D"/>
    <w:rsid w:val="002912A9"/>
    <w:rsid w:val="0029201B"/>
    <w:rsid w:val="0029378E"/>
    <w:rsid w:val="002A0CD4"/>
    <w:rsid w:val="002A5795"/>
    <w:rsid w:val="002B5C0D"/>
    <w:rsid w:val="002D535A"/>
    <w:rsid w:val="002E0B6F"/>
    <w:rsid w:val="002F4B20"/>
    <w:rsid w:val="0030025D"/>
    <w:rsid w:val="00303880"/>
    <w:rsid w:val="003055C7"/>
    <w:rsid w:val="00306FE6"/>
    <w:rsid w:val="003130CA"/>
    <w:rsid w:val="00326D41"/>
    <w:rsid w:val="00334A01"/>
    <w:rsid w:val="003362B0"/>
    <w:rsid w:val="003410D9"/>
    <w:rsid w:val="00354B34"/>
    <w:rsid w:val="003603A7"/>
    <w:rsid w:val="00361827"/>
    <w:rsid w:val="00372D4F"/>
    <w:rsid w:val="003732CE"/>
    <w:rsid w:val="003807F9"/>
    <w:rsid w:val="003824D0"/>
    <w:rsid w:val="003840C3"/>
    <w:rsid w:val="00391DB4"/>
    <w:rsid w:val="00392D42"/>
    <w:rsid w:val="00394191"/>
    <w:rsid w:val="003946F1"/>
    <w:rsid w:val="003A190D"/>
    <w:rsid w:val="003A3142"/>
    <w:rsid w:val="003A4A1A"/>
    <w:rsid w:val="003A62C4"/>
    <w:rsid w:val="003A6402"/>
    <w:rsid w:val="003A6A99"/>
    <w:rsid w:val="003A7354"/>
    <w:rsid w:val="003B43E6"/>
    <w:rsid w:val="003B5365"/>
    <w:rsid w:val="003B629B"/>
    <w:rsid w:val="003C23D4"/>
    <w:rsid w:val="003C2CDB"/>
    <w:rsid w:val="003C2E90"/>
    <w:rsid w:val="003D038F"/>
    <w:rsid w:val="003D140F"/>
    <w:rsid w:val="003D4C1A"/>
    <w:rsid w:val="003D5CB1"/>
    <w:rsid w:val="003D5F07"/>
    <w:rsid w:val="003D6C89"/>
    <w:rsid w:val="003E1C48"/>
    <w:rsid w:val="003E43FE"/>
    <w:rsid w:val="003E4F69"/>
    <w:rsid w:val="003F0E09"/>
    <w:rsid w:val="003F4F96"/>
    <w:rsid w:val="003F688C"/>
    <w:rsid w:val="003F68AD"/>
    <w:rsid w:val="00400731"/>
    <w:rsid w:val="00424F47"/>
    <w:rsid w:val="0042556F"/>
    <w:rsid w:val="00427EB8"/>
    <w:rsid w:val="00460E17"/>
    <w:rsid w:val="0047471F"/>
    <w:rsid w:val="00485CA6"/>
    <w:rsid w:val="00490EF9"/>
    <w:rsid w:val="00492C01"/>
    <w:rsid w:val="004968F7"/>
    <w:rsid w:val="00497507"/>
    <w:rsid w:val="004A011E"/>
    <w:rsid w:val="004A4B26"/>
    <w:rsid w:val="004B5016"/>
    <w:rsid w:val="004B692F"/>
    <w:rsid w:val="004C2431"/>
    <w:rsid w:val="004C650B"/>
    <w:rsid w:val="004C6762"/>
    <w:rsid w:val="004C6847"/>
    <w:rsid w:val="004D28CF"/>
    <w:rsid w:val="004D3DD3"/>
    <w:rsid w:val="004D53D4"/>
    <w:rsid w:val="004D5E16"/>
    <w:rsid w:val="004E4449"/>
    <w:rsid w:val="004F6C2A"/>
    <w:rsid w:val="005074CD"/>
    <w:rsid w:val="005144E6"/>
    <w:rsid w:val="00517372"/>
    <w:rsid w:val="00522A5F"/>
    <w:rsid w:val="005244D7"/>
    <w:rsid w:val="00526614"/>
    <w:rsid w:val="005304C9"/>
    <w:rsid w:val="00531821"/>
    <w:rsid w:val="00531AF4"/>
    <w:rsid w:val="00532847"/>
    <w:rsid w:val="00535101"/>
    <w:rsid w:val="005438B3"/>
    <w:rsid w:val="00546128"/>
    <w:rsid w:val="00551FE2"/>
    <w:rsid w:val="005664E8"/>
    <w:rsid w:val="00567B93"/>
    <w:rsid w:val="00571588"/>
    <w:rsid w:val="005722EF"/>
    <w:rsid w:val="005730EC"/>
    <w:rsid w:val="00581885"/>
    <w:rsid w:val="005853DD"/>
    <w:rsid w:val="00585A54"/>
    <w:rsid w:val="00587408"/>
    <w:rsid w:val="0058758A"/>
    <w:rsid w:val="005A7796"/>
    <w:rsid w:val="005B64CE"/>
    <w:rsid w:val="005B7A6D"/>
    <w:rsid w:val="005C043B"/>
    <w:rsid w:val="005C0D57"/>
    <w:rsid w:val="005C1753"/>
    <w:rsid w:val="005C1D62"/>
    <w:rsid w:val="005C3C3E"/>
    <w:rsid w:val="005C5233"/>
    <w:rsid w:val="005C5936"/>
    <w:rsid w:val="005D4468"/>
    <w:rsid w:val="005E1719"/>
    <w:rsid w:val="005E2396"/>
    <w:rsid w:val="005E7AE7"/>
    <w:rsid w:val="005F000E"/>
    <w:rsid w:val="005F1A30"/>
    <w:rsid w:val="005F22FE"/>
    <w:rsid w:val="005F23CA"/>
    <w:rsid w:val="00601DE1"/>
    <w:rsid w:val="006035FD"/>
    <w:rsid w:val="00606EB7"/>
    <w:rsid w:val="00607BA3"/>
    <w:rsid w:val="00611445"/>
    <w:rsid w:val="00616187"/>
    <w:rsid w:val="00623745"/>
    <w:rsid w:val="00626EDC"/>
    <w:rsid w:val="006275E0"/>
    <w:rsid w:val="00632595"/>
    <w:rsid w:val="00632DB7"/>
    <w:rsid w:val="00640AE1"/>
    <w:rsid w:val="00642A6F"/>
    <w:rsid w:val="00642C9F"/>
    <w:rsid w:val="00645DE6"/>
    <w:rsid w:val="006476D6"/>
    <w:rsid w:val="006547CD"/>
    <w:rsid w:val="00656A34"/>
    <w:rsid w:val="00663A2D"/>
    <w:rsid w:val="0067136C"/>
    <w:rsid w:val="00672562"/>
    <w:rsid w:val="006766F5"/>
    <w:rsid w:val="006835E1"/>
    <w:rsid w:val="00685621"/>
    <w:rsid w:val="006939C9"/>
    <w:rsid w:val="006A466F"/>
    <w:rsid w:val="006A54E2"/>
    <w:rsid w:val="006A5B59"/>
    <w:rsid w:val="006B26F5"/>
    <w:rsid w:val="006B58C5"/>
    <w:rsid w:val="006C5BAE"/>
    <w:rsid w:val="006D028A"/>
    <w:rsid w:val="006D08C0"/>
    <w:rsid w:val="006D7D4C"/>
    <w:rsid w:val="006E1DA5"/>
    <w:rsid w:val="006E267D"/>
    <w:rsid w:val="006E6173"/>
    <w:rsid w:val="006E7CEA"/>
    <w:rsid w:val="006F2DAE"/>
    <w:rsid w:val="006F5A60"/>
    <w:rsid w:val="006F5C72"/>
    <w:rsid w:val="006F6952"/>
    <w:rsid w:val="0070058D"/>
    <w:rsid w:val="007006C1"/>
    <w:rsid w:val="00707B79"/>
    <w:rsid w:val="007145F3"/>
    <w:rsid w:val="00727A04"/>
    <w:rsid w:val="00727CA5"/>
    <w:rsid w:val="0073069F"/>
    <w:rsid w:val="00731047"/>
    <w:rsid w:val="00731362"/>
    <w:rsid w:val="00733280"/>
    <w:rsid w:val="007341C3"/>
    <w:rsid w:val="0074183C"/>
    <w:rsid w:val="00750AA0"/>
    <w:rsid w:val="00755C79"/>
    <w:rsid w:val="007574F4"/>
    <w:rsid w:val="00760351"/>
    <w:rsid w:val="00760980"/>
    <w:rsid w:val="00762119"/>
    <w:rsid w:val="0076384B"/>
    <w:rsid w:val="0076714C"/>
    <w:rsid w:val="00770F2B"/>
    <w:rsid w:val="0078617B"/>
    <w:rsid w:val="00795056"/>
    <w:rsid w:val="00796DA1"/>
    <w:rsid w:val="00797BB0"/>
    <w:rsid w:val="007A2941"/>
    <w:rsid w:val="007A4C41"/>
    <w:rsid w:val="007B55D0"/>
    <w:rsid w:val="007B63E7"/>
    <w:rsid w:val="007D0E8C"/>
    <w:rsid w:val="007D4058"/>
    <w:rsid w:val="007D692F"/>
    <w:rsid w:val="007E232D"/>
    <w:rsid w:val="007E6DC3"/>
    <w:rsid w:val="007F511F"/>
    <w:rsid w:val="007F74B9"/>
    <w:rsid w:val="007F798C"/>
    <w:rsid w:val="008013EA"/>
    <w:rsid w:val="00804A8F"/>
    <w:rsid w:val="00804DB9"/>
    <w:rsid w:val="0084647A"/>
    <w:rsid w:val="008550CD"/>
    <w:rsid w:val="0085733E"/>
    <w:rsid w:val="008630D8"/>
    <w:rsid w:val="00890070"/>
    <w:rsid w:val="00892032"/>
    <w:rsid w:val="00892F5B"/>
    <w:rsid w:val="008A3A2D"/>
    <w:rsid w:val="008B165D"/>
    <w:rsid w:val="008B770F"/>
    <w:rsid w:val="008C1097"/>
    <w:rsid w:val="008C32FD"/>
    <w:rsid w:val="008C4788"/>
    <w:rsid w:val="008D0D10"/>
    <w:rsid w:val="008E1978"/>
    <w:rsid w:val="008E61B7"/>
    <w:rsid w:val="008F4404"/>
    <w:rsid w:val="008F4506"/>
    <w:rsid w:val="0090131C"/>
    <w:rsid w:val="009101CC"/>
    <w:rsid w:val="00911DB8"/>
    <w:rsid w:val="00923D5F"/>
    <w:rsid w:val="00933FED"/>
    <w:rsid w:val="00935797"/>
    <w:rsid w:val="00942412"/>
    <w:rsid w:val="00943F8C"/>
    <w:rsid w:val="009441CC"/>
    <w:rsid w:val="00947C2D"/>
    <w:rsid w:val="0096254D"/>
    <w:rsid w:val="00962958"/>
    <w:rsid w:val="00967103"/>
    <w:rsid w:val="00967E74"/>
    <w:rsid w:val="009720FB"/>
    <w:rsid w:val="00992076"/>
    <w:rsid w:val="00992133"/>
    <w:rsid w:val="009A0D76"/>
    <w:rsid w:val="009A1C79"/>
    <w:rsid w:val="009A7C35"/>
    <w:rsid w:val="009B2D4B"/>
    <w:rsid w:val="009B3DCF"/>
    <w:rsid w:val="009C3CDF"/>
    <w:rsid w:val="009D115A"/>
    <w:rsid w:val="009D3B33"/>
    <w:rsid w:val="009D5209"/>
    <w:rsid w:val="009D6FEF"/>
    <w:rsid w:val="009E36D1"/>
    <w:rsid w:val="009F0C4E"/>
    <w:rsid w:val="009F23A3"/>
    <w:rsid w:val="009F4AD5"/>
    <w:rsid w:val="009F4D64"/>
    <w:rsid w:val="009F5ECE"/>
    <w:rsid w:val="00A006E3"/>
    <w:rsid w:val="00A0496B"/>
    <w:rsid w:val="00A064F9"/>
    <w:rsid w:val="00A07D9A"/>
    <w:rsid w:val="00A15D8F"/>
    <w:rsid w:val="00A204B9"/>
    <w:rsid w:val="00A260E4"/>
    <w:rsid w:val="00A26305"/>
    <w:rsid w:val="00A3013B"/>
    <w:rsid w:val="00A33A99"/>
    <w:rsid w:val="00A451A9"/>
    <w:rsid w:val="00A455B4"/>
    <w:rsid w:val="00A56ED2"/>
    <w:rsid w:val="00A63192"/>
    <w:rsid w:val="00A70B76"/>
    <w:rsid w:val="00A710F6"/>
    <w:rsid w:val="00A73B61"/>
    <w:rsid w:val="00A7625A"/>
    <w:rsid w:val="00A76EDA"/>
    <w:rsid w:val="00A80F9F"/>
    <w:rsid w:val="00A80FD3"/>
    <w:rsid w:val="00A90D12"/>
    <w:rsid w:val="00A92860"/>
    <w:rsid w:val="00AA070F"/>
    <w:rsid w:val="00AA1ADB"/>
    <w:rsid w:val="00AA3FDE"/>
    <w:rsid w:val="00AB562B"/>
    <w:rsid w:val="00AB563A"/>
    <w:rsid w:val="00AB580E"/>
    <w:rsid w:val="00AC5FB7"/>
    <w:rsid w:val="00AD1B16"/>
    <w:rsid w:val="00AD614E"/>
    <w:rsid w:val="00AD7197"/>
    <w:rsid w:val="00AE2B69"/>
    <w:rsid w:val="00AE509D"/>
    <w:rsid w:val="00AE6006"/>
    <w:rsid w:val="00AF0018"/>
    <w:rsid w:val="00AF2305"/>
    <w:rsid w:val="00AF5EF1"/>
    <w:rsid w:val="00AF5F40"/>
    <w:rsid w:val="00AF7ADE"/>
    <w:rsid w:val="00B06C5B"/>
    <w:rsid w:val="00B07A17"/>
    <w:rsid w:val="00B1466D"/>
    <w:rsid w:val="00B152C6"/>
    <w:rsid w:val="00B206C9"/>
    <w:rsid w:val="00B24359"/>
    <w:rsid w:val="00B2715C"/>
    <w:rsid w:val="00B3398C"/>
    <w:rsid w:val="00B367C3"/>
    <w:rsid w:val="00B41895"/>
    <w:rsid w:val="00B51FA9"/>
    <w:rsid w:val="00B649EA"/>
    <w:rsid w:val="00B7002F"/>
    <w:rsid w:val="00B75269"/>
    <w:rsid w:val="00B76FF0"/>
    <w:rsid w:val="00BA0B9C"/>
    <w:rsid w:val="00BA37A0"/>
    <w:rsid w:val="00BA6ADE"/>
    <w:rsid w:val="00BA7D7D"/>
    <w:rsid w:val="00BC2BFF"/>
    <w:rsid w:val="00BC575E"/>
    <w:rsid w:val="00BC6C36"/>
    <w:rsid w:val="00BE0EAA"/>
    <w:rsid w:val="00BE1770"/>
    <w:rsid w:val="00BE518A"/>
    <w:rsid w:val="00BF0619"/>
    <w:rsid w:val="00C12A8E"/>
    <w:rsid w:val="00C21452"/>
    <w:rsid w:val="00C27CC1"/>
    <w:rsid w:val="00C30000"/>
    <w:rsid w:val="00C31F9D"/>
    <w:rsid w:val="00C35F1F"/>
    <w:rsid w:val="00C47E99"/>
    <w:rsid w:val="00C51553"/>
    <w:rsid w:val="00C649C5"/>
    <w:rsid w:val="00C64C12"/>
    <w:rsid w:val="00C64DD9"/>
    <w:rsid w:val="00C67E16"/>
    <w:rsid w:val="00C83BB5"/>
    <w:rsid w:val="00C83ED2"/>
    <w:rsid w:val="00C8795E"/>
    <w:rsid w:val="00C93B74"/>
    <w:rsid w:val="00C97352"/>
    <w:rsid w:val="00CA6331"/>
    <w:rsid w:val="00CA751B"/>
    <w:rsid w:val="00CA7AFF"/>
    <w:rsid w:val="00CB348C"/>
    <w:rsid w:val="00CB36E0"/>
    <w:rsid w:val="00CB3DAB"/>
    <w:rsid w:val="00CB41F2"/>
    <w:rsid w:val="00CB5923"/>
    <w:rsid w:val="00CC1566"/>
    <w:rsid w:val="00CC5CE8"/>
    <w:rsid w:val="00CC6995"/>
    <w:rsid w:val="00CD6F99"/>
    <w:rsid w:val="00CD78E2"/>
    <w:rsid w:val="00CE046A"/>
    <w:rsid w:val="00CE4B60"/>
    <w:rsid w:val="00CF12C4"/>
    <w:rsid w:val="00CF46C8"/>
    <w:rsid w:val="00D018BB"/>
    <w:rsid w:val="00D12347"/>
    <w:rsid w:val="00D14015"/>
    <w:rsid w:val="00D1440F"/>
    <w:rsid w:val="00D15E81"/>
    <w:rsid w:val="00D24C9A"/>
    <w:rsid w:val="00D25A0C"/>
    <w:rsid w:val="00D27E8D"/>
    <w:rsid w:val="00D355F1"/>
    <w:rsid w:val="00D3645B"/>
    <w:rsid w:val="00D3747F"/>
    <w:rsid w:val="00D41DF7"/>
    <w:rsid w:val="00D70D30"/>
    <w:rsid w:val="00D71F32"/>
    <w:rsid w:val="00D74584"/>
    <w:rsid w:val="00D74AB2"/>
    <w:rsid w:val="00D75275"/>
    <w:rsid w:val="00D7529F"/>
    <w:rsid w:val="00D805D0"/>
    <w:rsid w:val="00D869CD"/>
    <w:rsid w:val="00D91A59"/>
    <w:rsid w:val="00D93310"/>
    <w:rsid w:val="00DA08FD"/>
    <w:rsid w:val="00DB3D98"/>
    <w:rsid w:val="00DB68A2"/>
    <w:rsid w:val="00DC1686"/>
    <w:rsid w:val="00DD04CD"/>
    <w:rsid w:val="00DE67AF"/>
    <w:rsid w:val="00DE76CE"/>
    <w:rsid w:val="00DF11EF"/>
    <w:rsid w:val="00E03071"/>
    <w:rsid w:val="00E0436E"/>
    <w:rsid w:val="00E1299C"/>
    <w:rsid w:val="00E1324A"/>
    <w:rsid w:val="00E2297B"/>
    <w:rsid w:val="00E27125"/>
    <w:rsid w:val="00E34666"/>
    <w:rsid w:val="00E37210"/>
    <w:rsid w:val="00E41162"/>
    <w:rsid w:val="00E4467E"/>
    <w:rsid w:val="00E65DD3"/>
    <w:rsid w:val="00E701E9"/>
    <w:rsid w:val="00E87CDD"/>
    <w:rsid w:val="00EA1F24"/>
    <w:rsid w:val="00EA21B3"/>
    <w:rsid w:val="00EB697A"/>
    <w:rsid w:val="00EC30B3"/>
    <w:rsid w:val="00EC3248"/>
    <w:rsid w:val="00EC5FC1"/>
    <w:rsid w:val="00ED48FC"/>
    <w:rsid w:val="00ED4A77"/>
    <w:rsid w:val="00EE3818"/>
    <w:rsid w:val="00EF4146"/>
    <w:rsid w:val="00EF7869"/>
    <w:rsid w:val="00F02F16"/>
    <w:rsid w:val="00F03112"/>
    <w:rsid w:val="00F0378C"/>
    <w:rsid w:val="00F05CB2"/>
    <w:rsid w:val="00F1157C"/>
    <w:rsid w:val="00F11683"/>
    <w:rsid w:val="00F13852"/>
    <w:rsid w:val="00F23885"/>
    <w:rsid w:val="00F317F6"/>
    <w:rsid w:val="00F31C12"/>
    <w:rsid w:val="00F33EA5"/>
    <w:rsid w:val="00F40616"/>
    <w:rsid w:val="00F421DB"/>
    <w:rsid w:val="00F50F0E"/>
    <w:rsid w:val="00F53C59"/>
    <w:rsid w:val="00F6358A"/>
    <w:rsid w:val="00F65579"/>
    <w:rsid w:val="00F7077A"/>
    <w:rsid w:val="00F73F18"/>
    <w:rsid w:val="00F73FDA"/>
    <w:rsid w:val="00F814DE"/>
    <w:rsid w:val="00F84DE2"/>
    <w:rsid w:val="00F85369"/>
    <w:rsid w:val="00F85B11"/>
    <w:rsid w:val="00F96DDC"/>
    <w:rsid w:val="00FA1958"/>
    <w:rsid w:val="00FA535A"/>
    <w:rsid w:val="00FA5961"/>
    <w:rsid w:val="00FA7924"/>
    <w:rsid w:val="00FB2BDC"/>
    <w:rsid w:val="00FB63C8"/>
    <w:rsid w:val="00FB690E"/>
    <w:rsid w:val="00FC3267"/>
    <w:rsid w:val="00FC3441"/>
    <w:rsid w:val="00FC5E5C"/>
    <w:rsid w:val="00FD1DD4"/>
    <w:rsid w:val="00FE23EE"/>
    <w:rsid w:val="00FE7EAD"/>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F73F18"/>
    <w:pPr>
      <w:numPr>
        <w:ilvl w:val="1"/>
        <w:numId w:val="19"/>
      </w:numPr>
      <w:spacing w:before="360" w:after="24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aliases w:val="Paragraphe 3,lp1"/>
    <w:basedOn w:val="Normal"/>
    <w:link w:val="ParagraphedelisteCar"/>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F73F18"/>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customStyle="1" w:styleId="fontstyle01">
    <w:name w:val="fontstyle01"/>
    <w:basedOn w:val="Policepardfaut"/>
    <w:rsid w:val="009A0D76"/>
    <w:rPr>
      <w:rFonts w:ascii="Helvetica" w:hAnsi="Helvetica" w:hint="default"/>
      <w:b w:val="0"/>
      <w:bCs w:val="0"/>
      <w:i w:val="0"/>
      <w:iCs w:val="0"/>
      <w:color w:val="000000"/>
      <w:sz w:val="16"/>
      <w:szCs w:val="16"/>
    </w:rPr>
  </w:style>
  <w:style w:type="character" w:styleId="lev">
    <w:name w:val="Strong"/>
    <w:basedOn w:val="Policepardfaut"/>
    <w:uiPriority w:val="22"/>
    <w:qFormat/>
    <w:rsid w:val="007A2941"/>
    <w:rPr>
      <w:b/>
      <w:bCs/>
    </w:rPr>
  </w:style>
  <w:style w:type="character" w:customStyle="1" w:styleId="ParagraphedelisteCar">
    <w:name w:val="Paragraphe de liste Car"/>
    <w:aliases w:val="Paragraphe 3 Car,lp1 Car"/>
    <w:basedOn w:val="Policepardfaut"/>
    <w:link w:val="Paragraphedeliste"/>
    <w:uiPriority w:val="34"/>
    <w:rsid w:val="007A2941"/>
    <w:rPr>
      <w:rFonts w:ascii="AvenirNext LT Pro Cn" w:eastAsiaTheme="minorHAnsi" w:hAnsi="AvenirNext LT Pro Cn" w:cstheme="minorBidi"/>
      <w:sz w:val="22"/>
      <w:szCs w:val="22"/>
      <w:lang w:eastAsia="en-US"/>
    </w:rPr>
  </w:style>
  <w:style w:type="character" w:customStyle="1" w:styleId="CommentaireCar">
    <w:name w:val="Commentaire Car"/>
    <w:basedOn w:val="Policepardfaut"/>
    <w:link w:val="Commentaire"/>
    <w:semiHidden/>
    <w:rsid w:val="00531821"/>
    <w:rPr>
      <w:rFonts w:ascii="AvenirNext LT Pro Cn" w:eastAsiaTheme="minorHAnsi" w:hAnsi="AvenirNext LT Pro Cn"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395906170">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hyperlink" Target="https://www.cnil.fr/fr/reglement-europeen-protection-donnees" TargetMode="External"/><Relationship Id="rId3" Type="http://schemas.openxmlformats.org/officeDocument/2006/relationships/styles" Target="styles.xml"/><Relationship Id="rId21" Type="http://schemas.openxmlformats.org/officeDocument/2006/relationships/hyperlink" Target="https://www.cnil.fr/fr/sous-traitance-exemple-de-clauses" TargetMode="Externa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ssi.gouv.fr/entreprise/reglementation/protection-des-systemes-dinformations/la-politique-de-securite-des-systemes-dinformation-de-letat-pssie/" TargetMode="External"/><Relationship Id="rId2" Type="http://schemas.openxmlformats.org/officeDocument/2006/relationships/numbering" Target="numbering.xml"/><Relationship Id="rId16" Type="http://schemas.openxmlformats.org/officeDocument/2006/relationships/hyperlink" Target="http://www.ssi.gouv.fr/administration/reglementation/confiance-numerique/le-referentiel-general-de-securite-rgs/" TargetMode="External"/><Relationship Id="rId20" Type="http://schemas.openxmlformats.org/officeDocument/2006/relationships/hyperlink" Target="https://www.cnil.fr/fr/commande-publique-quel-acteur-est-responsable-au-regard-du-rg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eferences.modernisation.gouv.fr/referentiel/" TargetMode="External"/><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s://www.cnil.fr/fr/ce-quil-faut-savoir-sur-lanalyse-dimpact-relative-la-protection-des-donnees-ai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eferences.modernisation.gouv.fr/interoperabilit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AvenirNext LT Pro Cn">
    <w:altName w:val="Calibri"/>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venirNext LT Pro LightCn">
    <w:panose1 w:val="020B0406020202020204"/>
    <w:charset w:val="00"/>
    <w:family w:val="swiss"/>
    <w:notTrueType/>
    <w:pitch w:val="variable"/>
    <w:sig w:usb0="800000A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34159"/>
    <w:rsid w:val="000F4AF5"/>
    <w:rsid w:val="001860C5"/>
    <w:rsid w:val="001F67A3"/>
    <w:rsid w:val="00380F5D"/>
    <w:rsid w:val="003F5538"/>
    <w:rsid w:val="003F69EB"/>
    <w:rsid w:val="00474B98"/>
    <w:rsid w:val="005444AB"/>
    <w:rsid w:val="00752515"/>
    <w:rsid w:val="00950886"/>
    <w:rsid w:val="00B06B50"/>
    <w:rsid w:val="00BC6F7C"/>
    <w:rsid w:val="00BE5CCB"/>
    <w:rsid w:val="00C03F9E"/>
    <w:rsid w:val="00D5400C"/>
    <w:rsid w:val="00E540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317231A287B04521BA88C21CB71518651">
    <w:name w:val="317231A287B04521BA88C21CB71518651"/>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457F317-F1BA-4377-9907-DC12349E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23</TotalTime>
  <Pages>24</Pages>
  <Words>8276</Words>
  <Characters>51837</Characters>
  <Application>Microsoft Office Word</Application>
  <DocSecurity>0</DocSecurity>
  <Lines>431</Lines>
  <Paragraphs>119</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59994</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Claire Boulesteix</cp:lastModifiedBy>
  <cp:revision>4</cp:revision>
  <cp:lastPrinted>2021-11-22T15:07:00Z</cp:lastPrinted>
  <dcterms:created xsi:type="dcterms:W3CDTF">2025-05-28T14:43:00Z</dcterms:created>
  <dcterms:modified xsi:type="dcterms:W3CDTF">2025-06-04T11:56:00Z</dcterms:modified>
</cp:coreProperties>
</file>